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B4E" w:rsidRPr="005D4780" w:rsidRDefault="00491B4E" w:rsidP="00491B4E">
      <w:pPr>
        <w:jc w:val="center"/>
        <w:rPr>
          <w:rFonts w:cstheme="minorHAnsi"/>
          <w:b/>
          <w:color w:val="1F497D" w:themeColor="text2"/>
          <w:sz w:val="40"/>
          <w:szCs w:val="32"/>
        </w:rPr>
      </w:pPr>
      <w:bookmarkStart w:id="0" w:name="_Toc482863499"/>
      <w:bookmarkStart w:id="1" w:name="_GoBack"/>
      <w:bookmarkEnd w:id="1"/>
      <w:r w:rsidRPr="005D4780">
        <w:rPr>
          <w:rFonts w:cstheme="minorHAnsi"/>
          <w:b/>
          <w:color w:val="1F497D" w:themeColor="text2"/>
          <w:sz w:val="40"/>
          <w:szCs w:val="32"/>
        </w:rPr>
        <w:t>Capitol Comments</w:t>
      </w:r>
    </w:p>
    <w:p w:rsidR="00491B4E" w:rsidRPr="005D4780" w:rsidRDefault="00491B4E" w:rsidP="00491B4E">
      <w:pPr>
        <w:jc w:val="center"/>
        <w:rPr>
          <w:rFonts w:cstheme="minorHAnsi"/>
          <w:b/>
          <w:color w:val="1F497D" w:themeColor="text2"/>
          <w:sz w:val="32"/>
          <w:szCs w:val="32"/>
        </w:rPr>
      </w:pPr>
      <w:r>
        <w:rPr>
          <w:rFonts w:cstheme="minorHAnsi"/>
          <w:b/>
          <w:color w:val="1F497D" w:themeColor="text2"/>
          <w:sz w:val="32"/>
          <w:szCs w:val="32"/>
        </w:rPr>
        <w:t>June</w:t>
      </w:r>
      <w:r w:rsidRPr="005D4780">
        <w:rPr>
          <w:rFonts w:cstheme="minorHAnsi"/>
          <w:b/>
          <w:color w:val="1F497D" w:themeColor="text2"/>
          <w:sz w:val="32"/>
          <w:szCs w:val="32"/>
        </w:rPr>
        <w:t xml:space="preserve"> 2018</w:t>
      </w:r>
    </w:p>
    <w:p w:rsidR="00063F3D" w:rsidRPr="005E2597" w:rsidRDefault="00063F3D" w:rsidP="00063F3D">
      <w:pPr>
        <w:rPr>
          <w:rFonts w:eastAsia="Times New Roman" w:cstheme="minorHAnsi"/>
          <w:b/>
          <w:i/>
          <w:color w:val="002060"/>
          <w:sz w:val="20"/>
          <w:szCs w:val="20"/>
        </w:rPr>
      </w:pPr>
      <w:r>
        <w:rPr>
          <w:rFonts w:cstheme="minorHAnsi"/>
          <w:noProof/>
        </w:rPr>
        <w:drawing>
          <wp:anchor distT="0" distB="0" distL="114300" distR="114300" simplePos="0" relativeHeight="251660288" behindDoc="1" locked="0" layoutInCell="1" allowOverlap="1" wp14:anchorId="2038DFC6" wp14:editId="40ED7A02">
            <wp:simplePos x="0" y="0"/>
            <wp:positionH relativeFrom="column">
              <wp:posOffset>0</wp:posOffset>
            </wp:positionH>
            <wp:positionV relativeFrom="paragraph">
              <wp:posOffset>-10180320</wp:posOffset>
            </wp:positionV>
            <wp:extent cx="6858000" cy="88747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itol-Comments-Cover-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14:sizeRelH relativeFrom="page">
              <wp14:pctWidth>0</wp14:pctWidth>
            </wp14:sizeRelH>
            <wp14:sizeRelV relativeFrom="page">
              <wp14:pctHeight>0</wp14:pctHeight>
            </wp14:sizeRelV>
          </wp:anchor>
        </w:drawing>
      </w:r>
      <w:r w:rsidRPr="00436AD8">
        <w:rPr>
          <w:rFonts w:eastAsia="Times New Roman" w:cstheme="minorHAnsi"/>
          <w:b/>
          <w:i/>
          <w:color w:val="002060"/>
          <w:sz w:val="20"/>
          <w:szCs w:val="20"/>
        </w:rPr>
        <w:t>When there is a deadline</w:t>
      </w:r>
      <w:r>
        <w:rPr>
          <w:rFonts w:eastAsia="Times New Roman" w:cstheme="minorHAnsi"/>
          <w:b/>
          <w:i/>
          <w:color w:val="002060"/>
          <w:sz w:val="20"/>
          <w:szCs w:val="20"/>
        </w:rPr>
        <w:t xml:space="preserve"> or effective date</w:t>
      </w:r>
      <w:r w:rsidRPr="00436AD8">
        <w:rPr>
          <w:rFonts w:eastAsia="Times New Roman" w:cstheme="minorHAnsi"/>
          <w:b/>
          <w:i/>
          <w:color w:val="002060"/>
          <w:sz w:val="20"/>
          <w:szCs w:val="20"/>
        </w:rPr>
        <w:t xml:space="preserve"> associated with an item, you will see this graphic: </w:t>
      </w:r>
      <w:r w:rsidRPr="00436AD8">
        <w:rPr>
          <w:rFonts w:cstheme="minorHAnsi"/>
          <w:noProof/>
        </w:rPr>
        <w:drawing>
          <wp:inline distT="0" distB="0" distL="0" distR="0" wp14:anchorId="716E78B6" wp14:editId="3619E417">
            <wp:extent cx="275590" cy="220980"/>
            <wp:effectExtent l="0" t="0" r="0" b="7620"/>
            <wp:docPr id="2" name="Picture 4"/>
            <wp:cNvGraphicFramePr/>
            <a:graphic xmlns:a="http://schemas.openxmlformats.org/drawingml/2006/main">
              <a:graphicData uri="http://schemas.openxmlformats.org/drawingml/2006/picture">
                <pic:pic xmlns:pic="http://schemas.openxmlformats.org/drawingml/2006/picture">
                  <pic:nvPicPr>
                    <pic:cNvPr id="6" name="Picture 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590" cy="220980"/>
                    </a:xfrm>
                    <a:prstGeom prst="rect">
                      <a:avLst/>
                    </a:prstGeom>
                    <a:noFill/>
                    <a:ln>
                      <a:noFill/>
                    </a:ln>
                  </pic:spPr>
                </pic:pic>
              </a:graphicData>
            </a:graphic>
          </wp:inline>
        </w:drawing>
      </w:r>
      <w:bookmarkStart w:id="2" w:name="_Toc409519093"/>
      <w:bookmarkStart w:id="3" w:name="_Toc504138793"/>
      <w:bookmarkStart w:id="4" w:name="_Hlk501354491"/>
    </w:p>
    <w:p w:rsidR="00063F3D" w:rsidRDefault="00063F3D" w:rsidP="00063F3D">
      <w:pPr>
        <w:pStyle w:val="CCTOCHeading"/>
        <w:spacing w:line="259" w:lineRule="auto"/>
      </w:pPr>
      <w:bookmarkStart w:id="5" w:name="_Toc504138999"/>
      <w:bookmarkStart w:id="6" w:name="_Toc504138792"/>
      <w:bookmarkStart w:id="7" w:name="_Toc409519092"/>
      <w:bookmarkStart w:id="8" w:name="_Toc517254830"/>
      <w:r w:rsidRPr="00441CA4">
        <w:t>Joint federal agency issuances</w:t>
      </w:r>
      <w:bookmarkEnd w:id="5"/>
      <w:bookmarkEnd w:id="6"/>
      <w:bookmarkEnd w:id="7"/>
      <w:r>
        <w:t xml:space="preserve">, </w:t>
      </w:r>
      <w:r w:rsidRPr="006E7501">
        <w:t>action</w:t>
      </w:r>
      <w:r>
        <w:t>s</w:t>
      </w:r>
      <w:r w:rsidRPr="006E7501">
        <w:t xml:space="preserve"> and news</w:t>
      </w:r>
      <w:bookmarkEnd w:id="8"/>
    </w:p>
    <w:p w:rsidR="00987CF4" w:rsidRDefault="00987CF4" w:rsidP="00063F3D">
      <w:pPr>
        <w:spacing w:before="120" w:after="120" w:line="259" w:lineRule="auto"/>
        <w:rPr>
          <w:rFonts w:ascii="Calibri" w:eastAsia="Calibri" w:hAnsi="Calibri" w:cs="Times New Roman"/>
          <w:b/>
          <w:bCs/>
          <w:i/>
          <w:color w:val="000000" w:themeColor="text1"/>
          <w:sz w:val="24"/>
          <w:szCs w:val="24"/>
        </w:rPr>
      </w:pPr>
      <w:bookmarkStart w:id="9" w:name="_Hlk514654946"/>
      <w:r w:rsidRPr="00987CF4">
        <w:rPr>
          <w:rFonts w:ascii="Calibri" w:eastAsia="Calibri" w:hAnsi="Calibri" w:cs="Times New Roman"/>
          <w:b/>
          <w:bCs/>
          <w:i/>
          <w:color w:val="000000" w:themeColor="text1"/>
          <w:sz w:val="24"/>
          <w:szCs w:val="24"/>
        </w:rPr>
        <w:t>Agencies Issue Host State Loan-to-Deposit Ratios</w:t>
      </w:r>
      <w:r>
        <w:rPr>
          <w:rFonts w:ascii="Calibri" w:eastAsia="Calibri" w:hAnsi="Calibri" w:cs="Times New Roman"/>
          <w:b/>
          <w:bCs/>
          <w:i/>
          <w:color w:val="000000" w:themeColor="text1"/>
          <w:sz w:val="24"/>
          <w:szCs w:val="24"/>
        </w:rPr>
        <w:t xml:space="preserve"> (06.15.2018) </w:t>
      </w:r>
    </w:p>
    <w:p w:rsidR="00987CF4" w:rsidRPr="00987CF4" w:rsidRDefault="00987CF4" w:rsidP="00987CF4">
      <w:pPr>
        <w:spacing w:before="120" w:after="120" w:line="259" w:lineRule="auto"/>
        <w:rPr>
          <w:rFonts w:ascii="Calibri" w:eastAsia="Calibri" w:hAnsi="Calibri" w:cs="Times New Roman"/>
          <w:bCs/>
          <w:color w:val="000000" w:themeColor="text1"/>
          <w:sz w:val="24"/>
          <w:szCs w:val="24"/>
        </w:rPr>
      </w:pPr>
      <w:r w:rsidRPr="00987CF4">
        <w:rPr>
          <w:rFonts w:ascii="Calibri" w:eastAsia="Calibri" w:hAnsi="Calibri" w:cs="Times New Roman"/>
          <w:bCs/>
          <w:color w:val="000000" w:themeColor="text1"/>
          <w:sz w:val="24"/>
          <w:szCs w:val="24"/>
        </w:rPr>
        <w:t>WASHINGTON--The Board of Governors of the Federal Reserve System, the Federal Deposit Insurance Corpo</w:t>
      </w:r>
      <w:r w:rsidR="00C71A01">
        <w:rPr>
          <w:rFonts w:ascii="Calibri" w:eastAsia="Calibri" w:hAnsi="Calibri" w:cs="Times New Roman"/>
          <w:bCs/>
          <w:color w:val="000000" w:themeColor="text1"/>
          <w:sz w:val="24"/>
          <w:szCs w:val="24"/>
        </w:rPr>
        <w:softHyphen/>
      </w:r>
      <w:r w:rsidRPr="00987CF4">
        <w:rPr>
          <w:rFonts w:ascii="Calibri" w:eastAsia="Calibri" w:hAnsi="Calibri" w:cs="Times New Roman"/>
          <w:bCs/>
          <w:color w:val="000000" w:themeColor="text1"/>
          <w:sz w:val="24"/>
          <w:szCs w:val="24"/>
        </w:rPr>
        <w:t xml:space="preserve">ration, and the Office of the Comptroller of the Currency issued the host state loan-to-deposit ratios that they will use to determine compliance with section 109 of the Riegle-Neal Interstate Banking and Branching Efficiency Act of 1994. These ratios replace the prior year's ratios, which </w:t>
      </w:r>
      <w:r>
        <w:rPr>
          <w:rFonts w:ascii="Calibri" w:eastAsia="Calibri" w:hAnsi="Calibri" w:cs="Times New Roman"/>
          <w:bCs/>
          <w:color w:val="000000" w:themeColor="text1"/>
          <w:sz w:val="24"/>
          <w:szCs w:val="24"/>
        </w:rPr>
        <w:t>were released on June 21, 2017.</w:t>
      </w:r>
    </w:p>
    <w:p w:rsidR="00987CF4" w:rsidRPr="00987CF4" w:rsidRDefault="00987CF4" w:rsidP="00987CF4">
      <w:pPr>
        <w:spacing w:before="120" w:after="120" w:line="259" w:lineRule="auto"/>
        <w:rPr>
          <w:rFonts w:ascii="Calibri" w:eastAsia="Calibri" w:hAnsi="Calibri" w:cs="Times New Roman"/>
          <w:bCs/>
          <w:color w:val="000000" w:themeColor="text1"/>
          <w:sz w:val="24"/>
          <w:szCs w:val="24"/>
        </w:rPr>
      </w:pPr>
      <w:r w:rsidRPr="00987CF4">
        <w:rPr>
          <w:rFonts w:ascii="Calibri" w:eastAsia="Calibri" w:hAnsi="Calibri" w:cs="Times New Roman"/>
          <w:bCs/>
          <w:color w:val="000000" w:themeColor="text1"/>
          <w:sz w:val="24"/>
          <w:szCs w:val="24"/>
        </w:rPr>
        <w:t xml:space="preserve">In general, section 109 prohibits a bank from establishing or acquiring a branch or branches outside of its home state primarily </w:t>
      </w:r>
      <w:proofErr w:type="gramStart"/>
      <w:r w:rsidRPr="00987CF4">
        <w:rPr>
          <w:rFonts w:ascii="Calibri" w:eastAsia="Calibri" w:hAnsi="Calibri" w:cs="Times New Roman"/>
          <w:bCs/>
          <w:color w:val="000000" w:themeColor="text1"/>
          <w:sz w:val="24"/>
          <w:szCs w:val="24"/>
        </w:rPr>
        <w:t>for the purpose of</w:t>
      </w:r>
      <w:proofErr w:type="gramEnd"/>
      <w:r w:rsidRPr="00987CF4">
        <w:rPr>
          <w:rFonts w:ascii="Calibri" w:eastAsia="Calibri" w:hAnsi="Calibri" w:cs="Times New Roman"/>
          <w:bCs/>
          <w:color w:val="000000" w:themeColor="text1"/>
          <w:sz w:val="24"/>
          <w:szCs w:val="24"/>
        </w:rPr>
        <w:t xml:space="preserve"> deposit production. Section 109 also prohibits branches of banks controlled by out-of-state bank holding companies from operating primarily </w:t>
      </w:r>
      <w:proofErr w:type="gramStart"/>
      <w:r w:rsidRPr="00987CF4">
        <w:rPr>
          <w:rFonts w:ascii="Calibri" w:eastAsia="Calibri" w:hAnsi="Calibri" w:cs="Times New Roman"/>
          <w:bCs/>
          <w:color w:val="000000" w:themeColor="text1"/>
          <w:sz w:val="24"/>
          <w:szCs w:val="24"/>
        </w:rPr>
        <w:t>for the</w:t>
      </w:r>
      <w:r>
        <w:rPr>
          <w:rFonts w:ascii="Calibri" w:eastAsia="Calibri" w:hAnsi="Calibri" w:cs="Times New Roman"/>
          <w:bCs/>
          <w:color w:val="000000" w:themeColor="text1"/>
          <w:sz w:val="24"/>
          <w:szCs w:val="24"/>
        </w:rPr>
        <w:t xml:space="preserve"> purpose of</w:t>
      </w:r>
      <w:proofErr w:type="gramEnd"/>
      <w:r>
        <w:rPr>
          <w:rFonts w:ascii="Calibri" w:eastAsia="Calibri" w:hAnsi="Calibri" w:cs="Times New Roman"/>
          <w:bCs/>
          <w:color w:val="000000" w:themeColor="text1"/>
          <w:sz w:val="24"/>
          <w:szCs w:val="24"/>
        </w:rPr>
        <w:t xml:space="preserve"> deposit production.</w:t>
      </w:r>
    </w:p>
    <w:p w:rsidR="00987CF4" w:rsidRPr="00987CF4" w:rsidRDefault="00987CF4" w:rsidP="00987CF4">
      <w:pPr>
        <w:spacing w:before="120" w:after="120" w:line="259" w:lineRule="auto"/>
        <w:rPr>
          <w:rFonts w:ascii="Calibri" w:eastAsia="Calibri" w:hAnsi="Calibri" w:cs="Times New Roman"/>
          <w:bCs/>
          <w:color w:val="000000" w:themeColor="text1"/>
          <w:sz w:val="24"/>
          <w:szCs w:val="24"/>
        </w:rPr>
      </w:pPr>
      <w:r w:rsidRPr="00987CF4">
        <w:rPr>
          <w:rFonts w:ascii="Calibri" w:eastAsia="Calibri" w:hAnsi="Calibri" w:cs="Times New Roman"/>
          <w:bCs/>
          <w:color w:val="000000" w:themeColor="text1"/>
          <w:sz w:val="24"/>
          <w:szCs w:val="24"/>
        </w:rPr>
        <w:t>Section 109 provides a process to test compliance with the statutory requirements. The first step in the process involves a loan-to-deposit ratio test that compares a bank's statewide loan-to-deposit ratio to the host state loan-to-deposit ratio f</w:t>
      </w:r>
      <w:r>
        <w:rPr>
          <w:rFonts w:ascii="Calibri" w:eastAsia="Calibri" w:hAnsi="Calibri" w:cs="Times New Roman"/>
          <w:bCs/>
          <w:color w:val="000000" w:themeColor="text1"/>
          <w:sz w:val="24"/>
          <w:szCs w:val="24"/>
        </w:rPr>
        <w:t xml:space="preserve">or banks in a </w:t>
      </w:r>
      <w:proofErr w:type="gramStart"/>
      <w:r>
        <w:rPr>
          <w:rFonts w:ascii="Calibri" w:eastAsia="Calibri" w:hAnsi="Calibri" w:cs="Times New Roman"/>
          <w:bCs/>
          <w:color w:val="000000" w:themeColor="text1"/>
          <w:sz w:val="24"/>
          <w:szCs w:val="24"/>
        </w:rPr>
        <w:t>particular state</w:t>
      </w:r>
      <w:proofErr w:type="gramEnd"/>
      <w:r>
        <w:rPr>
          <w:rFonts w:ascii="Calibri" w:eastAsia="Calibri" w:hAnsi="Calibri" w:cs="Times New Roman"/>
          <w:bCs/>
          <w:color w:val="000000" w:themeColor="text1"/>
          <w:sz w:val="24"/>
          <w:szCs w:val="24"/>
        </w:rPr>
        <w:t>.</w:t>
      </w:r>
    </w:p>
    <w:p w:rsidR="00987CF4" w:rsidRPr="00987CF4" w:rsidRDefault="00987CF4" w:rsidP="00987CF4">
      <w:pPr>
        <w:spacing w:before="120" w:after="120" w:line="259" w:lineRule="auto"/>
        <w:rPr>
          <w:rFonts w:ascii="Calibri" w:eastAsia="Calibri" w:hAnsi="Calibri" w:cs="Times New Roman"/>
          <w:bCs/>
          <w:color w:val="000000" w:themeColor="text1"/>
          <w:sz w:val="24"/>
          <w:szCs w:val="24"/>
        </w:rPr>
      </w:pPr>
      <w:r w:rsidRPr="00987CF4">
        <w:rPr>
          <w:rFonts w:ascii="Calibri" w:eastAsia="Calibri" w:hAnsi="Calibri" w:cs="Times New Roman"/>
          <w:bCs/>
          <w:color w:val="000000" w:themeColor="text1"/>
          <w:sz w:val="24"/>
          <w:szCs w:val="24"/>
        </w:rPr>
        <w:t xml:space="preserve">A second step is conducted if a bank's statewide loan-to-deposit ratio is less than one-half of the published ratio for that state or if data are not available at the bank to conduct the first step. The second step requires the appropriate agency to determine whether the bank is reasonably helping to meet the credit needs of the communities served by </w:t>
      </w:r>
      <w:r>
        <w:rPr>
          <w:rFonts w:ascii="Calibri" w:eastAsia="Calibri" w:hAnsi="Calibri" w:cs="Times New Roman"/>
          <w:bCs/>
          <w:color w:val="000000" w:themeColor="text1"/>
          <w:sz w:val="24"/>
          <w:szCs w:val="24"/>
        </w:rPr>
        <w:t>the bank's interstate branches.</w:t>
      </w:r>
    </w:p>
    <w:p w:rsidR="00987CF4" w:rsidRPr="00987CF4" w:rsidRDefault="00987CF4" w:rsidP="00987CF4">
      <w:pPr>
        <w:spacing w:before="120" w:after="120" w:line="259" w:lineRule="auto"/>
        <w:rPr>
          <w:rFonts w:ascii="Calibri" w:eastAsia="Calibri" w:hAnsi="Calibri" w:cs="Times New Roman"/>
          <w:bCs/>
          <w:color w:val="000000" w:themeColor="text1"/>
          <w:sz w:val="24"/>
          <w:szCs w:val="24"/>
        </w:rPr>
      </w:pPr>
      <w:r w:rsidRPr="00987CF4">
        <w:rPr>
          <w:rFonts w:ascii="Calibri" w:eastAsia="Calibri" w:hAnsi="Calibri" w:cs="Times New Roman"/>
          <w:bCs/>
          <w:color w:val="000000" w:themeColor="text1"/>
          <w:sz w:val="24"/>
          <w:szCs w:val="24"/>
        </w:rPr>
        <w:t>A bank that fails both steps is in violation of section 109 and is subject to sanct</w:t>
      </w:r>
      <w:r>
        <w:rPr>
          <w:rFonts w:ascii="Calibri" w:eastAsia="Calibri" w:hAnsi="Calibri" w:cs="Times New Roman"/>
          <w:bCs/>
          <w:color w:val="000000" w:themeColor="text1"/>
          <w:sz w:val="24"/>
          <w:szCs w:val="24"/>
        </w:rPr>
        <w:t>ions by the appropriate agency.</w:t>
      </w:r>
    </w:p>
    <w:p w:rsidR="00987CF4" w:rsidRDefault="00987CF4" w:rsidP="00987CF4">
      <w:pPr>
        <w:spacing w:before="120" w:after="120" w:line="259" w:lineRule="auto"/>
        <w:rPr>
          <w:rFonts w:ascii="Calibri" w:eastAsia="Calibri" w:hAnsi="Calibri" w:cs="Times New Roman"/>
          <w:bCs/>
          <w:color w:val="000000" w:themeColor="text1"/>
          <w:sz w:val="24"/>
          <w:szCs w:val="24"/>
        </w:rPr>
      </w:pPr>
      <w:r w:rsidRPr="00987CF4">
        <w:rPr>
          <w:rFonts w:ascii="Calibri" w:eastAsia="Calibri" w:hAnsi="Calibri" w:cs="Times New Roman"/>
          <w:bCs/>
          <w:color w:val="000000" w:themeColor="text1"/>
          <w:sz w:val="24"/>
          <w:szCs w:val="24"/>
        </w:rPr>
        <w:t>The updated host state loan-to-deposit ratios are attached.</w:t>
      </w:r>
    </w:p>
    <w:p w:rsidR="00063F3D" w:rsidRDefault="00063F3D" w:rsidP="00987CF4">
      <w:pPr>
        <w:spacing w:before="120" w:after="120" w:line="259" w:lineRule="auto"/>
        <w:rPr>
          <w:rFonts w:ascii="Calibri" w:eastAsia="Calibri" w:hAnsi="Calibri" w:cs="Times New Roman"/>
          <w:bCs/>
          <w:color w:val="000000"/>
          <w:sz w:val="24"/>
          <w:szCs w:val="24"/>
        </w:rPr>
      </w:pPr>
      <w:r w:rsidRPr="00482EAD">
        <w:rPr>
          <w:rFonts w:ascii="Calibri" w:eastAsia="Calibri" w:hAnsi="Calibri" w:cs="Times New Roman"/>
          <w:b/>
          <w:bCs/>
          <w:color w:val="000000"/>
          <w:sz w:val="24"/>
          <w:szCs w:val="24"/>
        </w:rPr>
        <w:t>Source</w:t>
      </w:r>
      <w:r w:rsidRPr="00CE05FF">
        <w:rPr>
          <w:rFonts w:ascii="Calibri" w:eastAsia="Calibri" w:hAnsi="Calibri" w:cs="Times New Roman"/>
          <w:bCs/>
          <w:color w:val="000000"/>
          <w:sz w:val="24"/>
          <w:szCs w:val="24"/>
        </w:rPr>
        <w:t xml:space="preserve"> </w:t>
      </w:r>
      <w:hyperlink r:id="rId10" w:history="1">
        <w:r w:rsidRPr="00987CF4">
          <w:rPr>
            <w:rStyle w:val="Hyperlink"/>
            <w:rFonts w:ascii="Calibri" w:eastAsia="Calibri" w:hAnsi="Calibri"/>
            <w:sz w:val="24"/>
            <w:szCs w:val="24"/>
          </w:rPr>
          <w:t>link</w:t>
        </w:r>
      </w:hyperlink>
      <w:r w:rsidRPr="00CE05FF">
        <w:rPr>
          <w:rFonts w:ascii="Calibri" w:eastAsia="Calibri" w:hAnsi="Calibri" w:cs="Times New Roman"/>
          <w:bCs/>
          <w:color w:val="000000"/>
          <w:sz w:val="24"/>
          <w:szCs w:val="24"/>
        </w:rPr>
        <w:t xml:space="preserve">. </w:t>
      </w:r>
    </w:p>
    <w:p w:rsidR="00063F3D" w:rsidRDefault="00063F3D" w:rsidP="00063F3D">
      <w:pPr>
        <w:spacing w:before="120" w:after="120" w:line="259" w:lineRule="auto"/>
        <w:rPr>
          <w:rFonts w:ascii="Calibri" w:eastAsia="Calibri" w:hAnsi="Calibri" w:cs="Times New Roman"/>
          <w:b/>
          <w:bCs/>
          <w:i/>
          <w:color w:val="002060"/>
          <w:sz w:val="24"/>
          <w:szCs w:val="24"/>
        </w:rPr>
      </w:pPr>
      <w:r w:rsidRPr="0034584A">
        <w:rPr>
          <w:rFonts w:ascii="Calibri" w:eastAsia="Calibri" w:hAnsi="Calibri" w:cs="Times New Roman"/>
          <w:b/>
          <w:bCs/>
          <w:i/>
          <w:color w:val="002060"/>
          <w:sz w:val="24"/>
          <w:szCs w:val="24"/>
        </w:rPr>
        <w:t xml:space="preserve">Comment: </w:t>
      </w:r>
      <w:bookmarkEnd w:id="9"/>
      <w:r w:rsidR="000D5EDC">
        <w:rPr>
          <w:rFonts w:ascii="Calibri" w:eastAsia="Calibri" w:hAnsi="Calibri" w:cs="Times New Roman"/>
          <w:b/>
          <w:bCs/>
          <w:i/>
          <w:color w:val="002060"/>
          <w:sz w:val="24"/>
          <w:szCs w:val="24"/>
        </w:rPr>
        <w:t xml:space="preserve">Loan demand varies significantly across </w:t>
      </w:r>
      <w:r w:rsidR="00BE539E">
        <w:rPr>
          <w:rFonts w:ascii="Calibri" w:eastAsia="Calibri" w:hAnsi="Calibri" w:cs="Times New Roman"/>
          <w:b/>
          <w:bCs/>
          <w:i/>
          <w:color w:val="002060"/>
          <w:sz w:val="24"/>
          <w:szCs w:val="24"/>
        </w:rPr>
        <w:t>many</w:t>
      </w:r>
      <w:r w:rsidR="000D5EDC">
        <w:rPr>
          <w:rFonts w:ascii="Calibri" w:eastAsia="Calibri" w:hAnsi="Calibri" w:cs="Times New Roman"/>
          <w:b/>
          <w:bCs/>
          <w:i/>
          <w:color w:val="002060"/>
          <w:sz w:val="24"/>
          <w:szCs w:val="24"/>
        </w:rPr>
        <w:t xml:space="preserve"> state</w:t>
      </w:r>
      <w:r w:rsidR="00BE539E">
        <w:rPr>
          <w:rFonts w:ascii="Calibri" w:eastAsia="Calibri" w:hAnsi="Calibri" w:cs="Times New Roman"/>
          <w:b/>
          <w:bCs/>
          <w:i/>
          <w:color w:val="002060"/>
          <w:sz w:val="24"/>
          <w:szCs w:val="24"/>
        </w:rPr>
        <w:t>s.</w:t>
      </w:r>
    </w:p>
    <w:p w:rsidR="000E0779" w:rsidRDefault="000E0779" w:rsidP="00063F3D">
      <w:pPr>
        <w:spacing w:before="120" w:after="120" w:line="259" w:lineRule="auto"/>
        <w:rPr>
          <w:rFonts w:ascii="Calibri" w:eastAsia="Calibri" w:hAnsi="Calibri" w:cs="Times New Roman"/>
          <w:b/>
          <w:bCs/>
          <w:i/>
          <w:color w:val="002060"/>
          <w:sz w:val="24"/>
          <w:szCs w:val="24"/>
        </w:rPr>
      </w:pPr>
    </w:p>
    <w:p w:rsidR="00191D02" w:rsidRDefault="00191D02" w:rsidP="00191D02">
      <w:pPr>
        <w:spacing w:before="120" w:after="120" w:line="259" w:lineRule="auto"/>
        <w:rPr>
          <w:rFonts w:ascii="Calibri" w:eastAsia="Calibri" w:hAnsi="Calibri" w:cs="Times New Roman"/>
          <w:b/>
          <w:bCs/>
          <w:i/>
          <w:color w:val="000000" w:themeColor="text1"/>
          <w:sz w:val="24"/>
          <w:szCs w:val="24"/>
        </w:rPr>
      </w:pPr>
      <w:r w:rsidRPr="00191D02">
        <w:rPr>
          <w:rFonts w:ascii="Calibri" w:eastAsia="Calibri" w:hAnsi="Calibri" w:cs="Times New Roman"/>
          <w:b/>
          <w:bCs/>
          <w:i/>
          <w:color w:val="000000" w:themeColor="text1"/>
          <w:sz w:val="24"/>
          <w:szCs w:val="24"/>
        </w:rPr>
        <w:t>Agencies Ask for Public Comment on Proposal to Simplify and Tailor "Volcker Rule"</w:t>
      </w:r>
      <w:r>
        <w:rPr>
          <w:rFonts w:ascii="Calibri" w:eastAsia="Calibri" w:hAnsi="Calibri" w:cs="Times New Roman"/>
          <w:b/>
          <w:bCs/>
          <w:i/>
          <w:color w:val="000000" w:themeColor="text1"/>
          <w:sz w:val="24"/>
          <w:szCs w:val="24"/>
        </w:rPr>
        <w:t xml:space="preserve"> (06.05.2018)</w:t>
      </w:r>
      <w:r w:rsidR="000E0779">
        <w:rPr>
          <w:rFonts w:ascii="Calibri" w:eastAsia="Calibri" w:hAnsi="Calibri" w:cs="Times New Roman"/>
          <w:b/>
          <w:bCs/>
          <w:i/>
          <w:color w:val="000000" w:themeColor="text1"/>
          <w:sz w:val="24"/>
          <w:szCs w:val="24"/>
        </w:rPr>
        <w:t xml:space="preserve"> </w:t>
      </w:r>
      <w:r w:rsidR="008343DE">
        <w:rPr>
          <w:rFonts w:ascii="Calibri" w:eastAsia="Calibri" w:hAnsi="Calibri" w:cs="Times New Roman"/>
          <w:b/>
          <w:bCs/>
          <w:i/>
          <w:noProof/>
          <w:color w:val="000000" w:themeColor="text1"/>
          <w:sz w:val="24"/>
          <w:szCs w:val="24"/>
        </w:rPr>
        <w:drawing>
          <wp:inline distT="0" distB="0" distL="0" distR="0" wp14:anchorId="60C93218">
            <wp:extent cx="274320" cy="2197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rsidR="00191D02" w:rsidRPr="00191D02" w:rsidRDefault="00191D02" w:rsidP="00191D02">
      <w:pPr>
        <w:spacing w:before="120" w:after="120" w:line="259" w:lineRule="auto"/>
        <w:rPr>
          <w:rFonts w:ascii="Calibri" w:eastAsia="Calibri" w:hAnsi="Calibri" w:cs="Times New Roman"/>
          <w:bCs/>
          <w:color w:val="000000" w:themeColor="text1"/>
          <w:sz w:val="24"/>
          <w:szCs w:val="24"/>
        </w:rPr>
      </w:pPr>
      <w:r w:rsidRPr="00191D02">
        <w:rPr>
          <w:rFonts w:ascii="Calibri" w:eastAsia="Calibri" w:hAnsi="Calibri" w:cs="Times New Roman"/>
          <w:bCs/>
          <w:color w:val="000000" w:themeColor="text1"/>
          <w:sz w:val="24"/>
          <w:szCs w:val="24"/>
        </w:rPr>
        <w:t xml:space="preserve">Five federal financial regulatory agencies announced that they are jointly asking for public comment on a proposal that would simplify and tailor compliance requirements relating to the “Volcker rule.”  By statute, the Volcker rule generally restricts banking entities from engaging in prohibited proprietary trading and from owning or controlling hedge funds or private equity funds. </w:t>
      </w:r>
    </w:p>
    <w:p w:rsidR="00191D02" w:rsidRPr="00191D02" w:rsidRDefault="00191D02" w:rsidP="00191D02">
      <w:pPr>
        <w:spacing w:before="120" w:after="120" w:line="259" w:lineRule="auto"/>
        <w:rPr>
          <w:rFonts w:ascii="Calibri" w:eastAsia="Calibri" w:hAnsi="Calibri" w:cs="Times New Roman"/>
          <w:bCs/>
          <w:color w:val="000000" w:themeColor="text1"/>
          <w:sz w:val="24"/>
          <w:szCs w:val="24"/>
        </w:rPr>
      </w:pPr>
      <w:r w:rsidRPr="00191D02">
        <w:rPr>
          <w:rFonts w:ascii="Calibri" w:eastAsia="Calibri" w:hAnsi="Calibri" w:cs="Times New Roman"/>
          <w:bCs/>
          <w:color w:val="000000" w:themeColor="text1"/>
          <w:sz w:val="24"/>
          <w:szCs w:val="24"/>
        </w:rPr>
        <w:t xml:space="preserve">The proposed changes are intended to streamline the rule by eliminating or modifying requirements that are not necessary to effectively implement the statute, while maintaining the core principles of the Volcker rule as well as the safety and soundness of banking entities. </w:t>
      </w:r>
    </w:p>
    <w:p w:rsidR="00191D02" w:rsidRPr="00191D02" w:rsidRDefault="00191D02" w:rsidP="00191D02">
      <w:pPr>
        <w:spacing w:before="120" w:after="120" w:line="259" w:lineRule="auto"/>
        <w:rPr>
          <w:rFonts w:ascii="Calibri" w:eastAsia="Calibri" w:hAnsi="Calibri" w:cs="Times New Roman"/>
          <w:bCs/>
          <w:color w:val="000000" w:themeColor="text1"/>
          <w:sz w:val="24"/>
          <w:szCs w:val="24"/>
        </w:rPr>
      </w:pPr>
      <w:r w:rsidRPr="00191D02">
        <w:rPr>
          <w:rFonts w:ascii="Calibri" w:eastAsia="Calibri" w:hAnsi="Calibri" w:cs="Times New Roman"/>
          <w:bCs/>
          <w:color w:val="000000" w:themeColor="text1"/>
          <w:sz w:val="24"/>
          <w:szCs w:val="24"/>
        </w:rPr>
        <w:lastRenderedPageBreak/>
        <w:t>The proposal was jointly developed by the Federal Reserve Board, the Commodity Futures Trading Commission, the Federal Deposit Insurance Corporation, the Office of the Comptroller of the Currency, and the Securities and Exchange Commission.</w:t>
      </w:r>
    </w:p>
    <w:p w:rsidR="00191D02" w:rsidRDefault="00191D02" w:rsidP="00191D02">
      <w:pPr>
        <w:spacing w:before="120" w:after="120" w:line="259" w:lineRule="auto"/>
        <w:rPr>
          <w:rFonts w:ascii="Calibri" w:eastAsia="Calibri" w:hAnsi="Calibri" w:cs="Times New Roman"/>
          <w:bCs/>
          <w:color w:val="000000" w:themeColor="text1"/>
          <w:sz w:val="24"/>
          <w:szCs w:val="24"/>
        </w:rPr>
      </w:pPr>
      <w:r w:rsidRPr="00191D02">
        <w:rPr>
          <w:rFonts w:ascii="Calibri" w:eastAsia="Calibri" w:hAnsi="Calibri" w:cs="Times New Roman"/>
          <w:bCs/>
          <w:color w:val="000000" w:themeColor="text1"/>
          <w:sz w:val="24"/>
          <w:szCs w:val="24"/>
        </w:rPr>
        <w:t>Comments will be accepted for 60 days after the proposal’s publication in the Federal Register.</w:t>
      </w:r>
    </w:p>
    <w:p w:rsidR="000B1726" w:rsidRDefault="000B1726" w:rsidP="00191D02">
      <w:pPr>
        <w:spacing w:before="120" w:after="120" w:line="259" w:lineRule="auto"/>
        <w:rPr>
          <w:rFonts w:ascii="Calibri" w:eastAsia="Calibri" w:hAnsi="Calibri" w:cs="Times New Roman"/>
          <w:bCs/>
          <w:color w:val="000000"/>
          <w:sz w:val="24"/>
          <w:szCs w:val="24"/>
        </w:rPr>
      </w:pPr>
      <w:r w:rsidRPr="00482EAD">
        <w:rPr>
          <w:rFonts w:ascii="Calibri" w:eastAsia="Calibri" w:hAnsi="Calibri" w:cs="Times New Roman"/>
          <w:b/>
          <w:bCs/>
          <w:color w:val="000000"/>
          <w:sz w:val="24"/>
          <w:szCs w:val="24"/>
        </w:rPr>
        <w:t>Source</w:t>
      </w:r>
      <w:r w:rsidRPr="00CE05FF">
        <w:rPr>
          <w:rFonts w:ascii="Calibri" w:eastAsia="Calibri" w:hAnsi="Calibri" w:cs="Times New Roman"/>
          <w:bCs/>
          <w:color w:val="000000"/>
          <w:sz w:val="24"/>
          <w:szCs w:val="24"/>
        </w:rPr>
        <w:t xml:space="preserve"> </w:t>
      </w:r>
      <w:hyperlink r:id="rId12" w:history="1">
        <w:r w:rsidRPr="00191D02">
          <w:rPr>
            <w:rStyle w:val="Hyperlink"/>
            <w:rFonts w:ascii="Calibri" w:eastAsia="Calibri" w:hAnsi="Calibri"/>
            <w:sz w:val="24"/>
            <w:szCs w:val="24"/>
          </w:rPr>
          <w:t>link</w:t>
        </w:r>
      </w:hyperlink>
      <w:r w:rsidRPr="00CE05FF">
        <w:rPr>
          <w:rFonts w:ascii="Calibri" w:eastAsia="Calibri" w:hAnsi="Calibri" w:cs="Times New Roman"/>
          <w:bCs/>
          <w:color w:val="000000"/>
          <w:sz w:val="24"/>
          <w:szCs w:val="24"/>
        </w:rPr>
        <w:t xml:space="preserve">. </w:t>
      </w:r>
    </w:p>
    <w:p w:rsidR="000B1726" w:rsidRPr="00482EAD" w:rsidRDefault="000B1726" w:rsidP="000B1726">
      <w:pPr>
        <w:spacing w:before="120" w:after="120" w:line="259" w:lineRule="auto"/>
        <w:rPr>
          <w:rFonts w:ascii="Calibri" w:eastAsia="Calibri" w:hAnsi="Calibri" w:cs="Times New Roman"/>
          <w:b/>
          <w:bCs/>
          <w:i/>
          <w:color w:val="000000"/>
          <w:sz w:val="24"/>
          <w:szCs w:val="24"/>
        </w:rPr>
      </w:pPr>
      <w:r w:rsidRPr="0034584A">
        <w:rPr>
          <w:rFonts w:ascii="Calibri" w:eastAsia="Calibri" w:hAnsi="Calibri" w:cs="Times New Roman"/>
          <w:b/>
          <w:bCs/>
          <w:i/>
          <w:color w:val="002060"/>
          <w:sz w:val="24"/>
          <w:szCs w:val="24"/>
        </w:rPr>
        <w:t xml:space="preserve">Comment: </w:t>
      </w:r>
      <w:r w:rsidR="000D5EDC">
        <w:rPr>
          <w:rFonts w:ascii="Calibri" w:eastAsia="Calibri" w:hAnsi="Calibri" w:cs="Times New Roman"/>
          <w:b/>
          <w:bCs/>
          <w:i/>
          <w:color w:val="002060"/>
          <w:sz w:val="24"/>
          <w:szCs w:val="24"/>
        </w:rPr>
        <w:t>Fortunately, S. 2155 made this issue moot for most community banks with total assets under $10B.</w:t>
      </w:r>
    </w:p>
    <w:p w:rsidR="00063F3D" w:rsidRPr="0005333A" w:rsidRDefault="00063F3D" w:rsidP="00063F3D">
      <w:pPr>
        <w:pStyle w:val="CCTOCHeading"/>
        <w:spacing w:line="259" w:lineRule="auto"/>
        <w:rPr>
          <w:rFonts w:asciiTheme="minorHAnsi" w:hAnsiTheme="minorHAnsi" w:cstheme="minorHAnsi"/>
        </w:rPr>
      </w:pPr>
      <w:bookmarkStart w:id="10" w:name="_Toc517254831"/>
      <w:r w:rsidRPr="00436AD8">
        <w:rPr>
          <w:rFonts w:asciiTheme="minorHAnsi" w:hAnsiTheme="minorHAnsi" w:cstheme="minorHAnsi"/>
        </w:rPr>
        <w:t>CFPB actions</w:t>
      </w:r>
      <w:bookmarkEnd w:id="2"/>
      <w:bookmarkEnd w:id="3"/>
      <w:r w:rsidRPr="00436AD8">
        <w:rPr>
          <w:rFonts w:asciiTheme="minorHAnsi" w:hAnsiTheme="minorHAnsi" w:cstheme="minorHAnsi"/>
        </w:rPr>
        <w:t xml:space="preserve"> </w:t>
      </w:r>
      <w:bookmarkStart w:id="11" w:name="_Toc504138794"/>
      <w:bookmarkStart w:id="12" w:name="_Hlk495909581"/>
      <w:bookmarkStart w:id="13" w:name="_Hlk493338318"/>
      <w:bookmarkStart w:id="14" w:name="_Toc409519094"/>
      <w:bookmarkStart w:id="15" w:name="_Hlk501111191"/>
      <w:bookmarkStart w:id="16" w:name="_Hlk498321497"/>
      <w:bookmarkEnd w:id="4"/>
      <w:r w:rsidRPr="006E7501">
        <w:rPr>
          <w:rFonts w:asciiTheme="minorHAnsi" w:hAnsiTheme="minorHAnsi" w:cstheme="minorHAnsi"/>
        </w:rPr>
        <w:t>and news</w:t>
      </w:r>
      <w:bookmarkEnd w:id="10"/>
    </w:p>
    <w:p w:rsidR="00B13C4F" w:rsidRDefault="00B13C4F" w:rsidP="000B1726">
      <w:pPr>
        <w:spacing w:before="120" w:after="120" w:line="259" w:lineRule="auto"/>
        <w:rPr>
          <w:rFonts w:ascii="Calibri" w:eastAsia="Calibri" w:hAnsi="Calibri" w:cs="Times New Roman"/>
          <w:b/>
          <w:bCs/>
          <w:i/>
          <w:color w:val="000000" w:themeColor="text1"/>
          <w:sz w:val="24"/>
          <w:szCs w:val="24"/>
        </w:rPr>
      </w:pPr>
      <w:bookmarkStart w:id="17" w:name="_Hlk514653909"/>
      <w:r w:rsidRPr="00B13C4F">
        <w:rPr>
          <w:rFonts w:ascii="Calibri" w:eastAsia="Calibri" w:hAnsi="Calibri" w:cs="Times New Roman"/>
          <w:b/>
          <w:bCs/>
          <w:i/>
          <w:color w:val="000000" w:themeColor="text1"/>
          <w:sz w:val="24"/>
          <w:szCs w:val="24"/>
        </w:rPr>
        <w:t>Complaint snapshot: An analysis of debt collection complaints</w:t>
      </w:r>
      <w:r>
        <w:rPr>
          <w:rFonts w:ascii="Calibri" w:eastAsia="Calibri" w:hAnsi="Calibri" w:cs="Times New Roman"/>
          <w:b/>
          <w:bCs/>
          <w:i/>
          <w:color w:val="000000" w:themeColor="text1"/>
          <w:sz w:val="24"/>
          <w:szCs w:val="24"/>
        </w:rPr>
        <w:t xml:space="preserve"> (05.31.2018)</w:t>
      </w:r>
    </w:p>
    <w:p w:rsidR="00B13C4F" w:rsidRPr="00B13C4F" w:rsidRDefault="00B13C4F" w:rsidP="00B13C4F">
      <w:pPr>
        <w:spacing w:before="120" w:after="120" w:line="259" w:lineRule="auto"/>
        <w:rPr>
          <w:rFonts w:ascii="Calibri" w:eastAsia="Calibri" w:hAnsi="Calibri" w:cs="Times New Roman"/>
          <w:bCs/>
          <w:color w:val="000000" w:themeColor="text1"/>
          <w:sz w:val="24"/>
          <w:szCs w:val="24"/>
        </w:rPr>
      </w:pPr>
      <w:r w:rsidRPr="00B13C4F">
        <w:rPr>
          <w:rFonts w:ascii="Calibri" w:eastAsia="Calibri" w:hAnsi="Calibri" w:cs="Times New Roman"/>
          <w:bCs/>
          <w:color w:val="000000" w:themeColor="text1"/>
          <w:sz w:val="24"/>
          <w:szCs w:val="24"/>
        </w:rPr>
        <w:t xml:space="preserve">In </w:t>
      </w:r>
      <w:r w:rsidR="000D5EDC">
        <w:rPr>
          <w:rFonts w:ascii="Calibri" w:eastAsia="Calibri" w:hAnsi="Calibri" w:cs="Times New Roman"/>
          <w:bCs/>
          <w:color w:val="000000" w:themeColor="text1"/>
          <w:sz w:val="24"/>
          <w:szCs w:val="24"/>
        </w:rPr>
        <w:t>its</w:t>
      </w:r>
      <w:r w:rsidRPr="00B13C4F">
        <w:rPr>
          <w:rFonts w:ascii="Calibri" w:eastAsia="Calibri" w:hAnsi="Calibri" w:cs="Times New Roman"/>
          <w:bCs/>
          <w:color w:val="000000" w:themeColor="text1"/>
          <w:sz w:val="24"/>
          <w:szCs w:val="24"/>
        </w:rPr>
        <w:t xml:space="preserve"> latest Complaint Snapshot, the Bureau of Consumer Financial Protection examine</w:t>
      </w:r>
      <w:r w:rsidR="000D5EDC">
        <w:rPr>
          <w:rFonts w:ascii="Calibri" w:eastAsia="Calibri" w:hAnsi="Calibri" w:cs="Times New Roman"/>
          <w:bCs/>
          <w:color w:val="000000" w:themeColor="text1"/>
          <w:sz w:val="24"/>
          <w:szCs w:val="24"/>
        </w:rPr>
        <w:t>d</w:t>
      </w:r>
      <w:r w:rsidRPr="00B13C4F">
        <w:rPr>
          <w:rFonts w:ascii="Calibri" w:eastAsia="Calibri" w:hAnsi="Calibri" w:cs="Times New Roman"/>
          <w:bCs/>
          <w:color w:val="000000" w:themeColor="text1"/>
          <w:sz w:val="24"/>
          <w:szCs w:val="24"/>
        </w:rPr>
        <w:t xml:space="preserve"> complaint trends, with a focused look at com</w:t>
      </w:r>
      <w:r>
        <w:rPr>
          <w:rFonts w:ascii="Calibri" w:eastAsia="Calibri" w:hAnsi="Calibri" w:cs="Times New Roman"/>
          <w:bCs/>
          <w:color w:val="000000" w:themeColor="text1"/>
          <w:sz w:val="24"/>
          <w:szCs w:val="24"/>
        </w:rPr>
        <w:t xml:space="preserve">plaints about debt collection. </w:t>
      </w:r>
    </w:p>
    <w:p w:rsidR="00B13C4F" w:rsidRPr="00B13C4F" w:rsidRDefault="00B13C4F" w:rsidP="00B13C4F">
      <w:pPr>
        <w:spacing w:before="120" w:after="120" w:line="259" w:lineRule="auto"/>
        <w:rPr>
          <w:rFonts w:ascii="Calibri" w:eastAsia="Calibri" w:hAnsi="Calibri" w:cs="Times New Roman"/>
          <w:bCs/>
          <w:color w:val="000000" w:themeColor="text1"/>
          <w:sz w:val="24"/>
          <w:szCs w:val="24"/>
        </w:rPr>
      </w:pPr>
      <w:r w:rsidRPr="00B13C4F">
        <w:rPr>
          <w:rFonts w:ascii="Calibri" w:eastAsia="Calibri" w:hAnsi="Calibri" w:cs="Times New Roman"/>
          <w:bCs/>
          <w:color w:val="000000" w:themeColor="text1"/>
          <w:sz w:val="24"/>
          <w:szCs w:val="24"/>
        </w:rPr>
        <w:t>Since July 2011, the Bureau has received approximately 400,500 debt collection complaints, which is 27 percent of the total complaints we’ve received. In-depth analysis of debt collection complaints helps us to understand the problems consumers are experie</w:t>
      </w:r>
      <w:r>
        <w:rPr>
          <w:rFonts w:ascii="Calibri" w:eastAsia="Calibri" w:hAnsi="Calibri" w:cs="Times New Roman"/>
          <w:bCs/>
          <w:color w:val="000000" w:themeColor="text1"/>
          <w:sz w:val="24"/>
          <w:szCs w:val="24"/>
        </w:rPr>
        <w:t xml:space="preserve">ncing with debt collection. </w:t>
      </w:r>
    </w:p>
    <w:p w:rsidR="00B13C4F" w:rsidRPr="00B13C4F" w:rsidRDefault="00B13C4F" w:rsidP="00B13C4F">
      <w:pPr>
        <w:spacing w:before="120" w:after="120" w:line="259" w:lineRule="auto"/>
        <w:rPr>
          <w:rFonts w:ascii="Calibri" w:eastAsia="Calibri" w:hAnsi="Calibri" w:cs="Times New Roman"/>
          <w:bCs/>
          <w:color w:val="000000" w:themeColor="text1"/>
          <w:sz w:val="24"/>
          <w:szCs w:val="24"/>
        </w:rPr>
      </w:pPr>
      <w:r w:rsidRPr="00B13C4F">
        <w:rPr>
          <w:rFonts w:ascii="Calibri" w:eastAsia="Calibri" w:hAnsi="Calibri" w:cs="Times New Roman"/>
          <w:bCs/>
          <w:color w:val="000000" w:themeColor="text1"/>
          <w:sz w:val="24"/>
          <w:szCs w:val="24"/>
        </w:rPr>
        <w:t>Some common themes emerged in our analysis of these complaints. For example, some people reported that there were debts on their consumer credit reports but that they did not have prior written notice of the existence of the debt. Some people stated in their complaints that they felt uncomfortable disclosing personal information to people who called asking for it because they were not sure whether the person calling was a legitimate debt collector. People also complained about the communication tactics companies used when</w:t>
      </w:r>
      <w:r>
        <w:rPr>
          <w:rFonts w:ascii="Calibri" w:eastAsia="Calibri" w:hAnsi="Calibri" w:cs="Times New Roman"/>
          <w:bCs/>
          <w:color w:val="000000" w:themeColor="text1"/>
          <w:sz w:val="24"/>
          <w:szCs w:val="24"/>
        </w:rPr>
        <w:t xml:space="preserve"> attempting to collect a debt. </w:t>
      </w:r>
    </w:p>
    <w:p w:rsidR="00B13C4F" w:rsidRPr="000D5EDC" w:rsidRDefault="00B13C4F" w:rsidP="00B13C4F">
      <w:pPr>
        <w:spacing w:before="120" w:after="120" w:line="259" w:lineRule="auto"/>
        <w:rPr>
          <w:rFonts w:ascii="Calibri" w:eastAsia="Calibri" w:hAnsi="Calibri" w:cs="Times New Roman"/>
          <w:bCs/>
          <w:color w:val="000000" w:themeColor="text1"/>
          <w:sz w:val="24"/>
          <w:szCs w:val="24"/>
          <w:u w:val="single"/>
        </w:rPr>
      </w:pPr>
      <w:r w:rsidRPr="000D5EDC">
        <w:rPr>
          <w:rFonts w:ascii="Calibri" w:eastAsia="Calibri" w:hAnsi="Calibri" w:cs="Times New Roman"/>
          <w:bCs/>
          <w:color w:val="000000" w:themeColor="text1"/>
          <w:sz w:val="24"/>
          <w:szCs w:val="24"/>
          <w:u w:val="single"/>
        </w:rPr>
        <w:t>Overall complaint trends</w:t>
      </w:r>
    </w:p>
    <w:p w:rsidR="00B13C4F" w:rsidRPr="00B13C4F" w:rsidRDefault="00B13C4F" w:rsidP="00B13C4F">
      <w:pPr>
        <w:spacing w:before="120" w:after="120" w:line="259" w:lineRule="auto"/>
        <w:rPr>
          <w:rFonts w:ascii="Calibri" w:eastAsia="Calibri" w:hAnsi="Calibri" w:cs="Times New Roman"/>
          <w:bCs/>
          <w:color w:val="000000" w:themeColor="text1"/>
          <w:sz w:val="24"/>
          <w:szCs w:val="24"/>
        </w:rPr>
      </w:pPr>
      <w:r w:rsidRPr="00B13C4F">
        <w:rPr>
          <w:rFonts w:ascii="Calibri" w:eastAsia="Calibri" w:hAnsi="Calibri" w:cs="Times New Roman"/>
          <w:bCs/>
          <w:color w:val="000000" w:themeColor="text1"/>
          <w:sz w:val="24"/>
          <w:szCs w:val="24"/>
        </w:rPr>
        <w:t xml:space="preserve">In addition to focusing on debt collection, the Snapshot also examines </w:t>
      </w:r>
      <w:r>
        <w:rPr>
          <w:rFonts w:ascii="Calibri" w:eastAsia="Calibri" w:hAnsi="Calibri" w:cs="Times New Roman"/>
          <w:bCs/>
          <w:color w:val="000000" w:themeColor="text1"/>
          <w:sz w:val="24"/>
          <w:szCs w:val="24"/>
        </w:rPr>
        <w:t xml:space="preserve">complaint trends more broadly. </w:t>
      </w:r>
    </w:p>
    <w:p w:rsidR="00B13C4F" w:rsidRDefault="00B13C4F" w:rsidP="00B13C4F">
      <w:pPr>
        <w:spacing w:before="120" w:after="120" w:line="259" w:lineRule="auto"/>
        <w:rPr>
          <w:rFonts w:ascii="Calibri" w:eastAsia="Calibri" w:hAnsi="Calibri" w:cs="Times New Roman"/>
          <w:bCs/>
          <w:color w:val="000000" w:themeColor="text1"/>
          <w:sz w:val="24"/>
          <w:szCs w:val="24"/>
        </w:rPr>
      </w:pPr>
      <w:r w:rsidRPr="00B13C4F">
        <w:rPr>
          <w:rFonts w:ascii="Calibri" w:eastAsia="Calibri" w:hAnsi="Calibri" w:cs="Times New Roman"/>
          <w:bCs/>
          <w:color w:val="000000" w:themeColor="text1"/>
          <w:sz w:val="24"/>
          <w:szCs w:val="24"/>
        </w:rPr>
        <w:t>"Credit or consumer reporting" was the most-complained-about financial product or service category in March 2018. Thirty-seven percent of the approximately 30,300 complaints received in March were about credit or consumer reporting. Debt collection was the second most-complained-about consumer product. It accounted for 27 percent of complaints. The third most-complained-about financial product or service was mortgages, accounting for about 10 percent of complaints.</w:t>
      </w:r>
    </w:p>
    <w:p w:rsidR="000B1726" w:rsidRDefault="000B1726" w:rsidP="00B13C4F">
      <w:pPr>
        <w:spacing w:before="120" w:after="120" w:line="259" w:lineRule="auto"/>
        <w:rPr>
          <w:rFonts w:ascii="Calibri" w:eastAsia="Calibri" w:hAnsi="Calibri" w:cs="Times New Roman"/>
          <w:bCs/>
          <w:color w:val="000000"/>
          <w:sz w:val="24"/>
          <w:szCs w:val="24"/>
        </w:rPr>
      </w:pPr>
      <w:r w:rsidRPr="00482EAD">
        <w:rPr>
          <w:rFonts w:ascii="Calibri" w:eastAsia="Calibri" w:hAnsi="Calibri" w:cs="Times New Roman"/>
          <w:b/>
          <w:bCs/>
          <w:color w:val="000000"/>
          <w:sz w:val="24"/>
          <w:szCs w:val="24"/>
        </w:rPr>
        <w:t>Source</w:t>
      </w:r>
      <w:r w:rsidRPr="00CE05FF">
        <w:rPr>
          <w:rFonts w:ascii="Calibri" w:eastAsia="Calibri" w:hAnsi="Calibri" w:cs="Times New Roman"/>
          <w:bCs/>
          <w:color w:val="000000"/>
          <w:sz w:val="24"/>
          <w:szCs w:val="24"/>
        </w:rPr>
        <w:t xml:space="preserve"> </w:t>
      </w:r>
      <w:hyperlink r:id="rId13" w:history="1">
        <w:r w:rsidRPr="00B13C4F">
          <w:rPr>
            <w:rStyle w:val="Hyperlink"/>
            <w:rFonts w:ascii="Calibri" w:eastAsia="Calibri" w:hAnsi="Calibri"/>
            <w:sz w:val="24"/>
            <w:szCs w:val="24"/>
          </w:rPr>
          <w:t>link</w:t>
        </w:r>
      </w:hyperlink>
      <w:r w:rsidRPr="00CE05FF">
        <w:rPr>
          <w:rFonts w:ascii="Calibri" w:eastAsia="Calibri" w:hAnsi="Calibri" w:cs="Times New Roman"/>
          <w:bCs/>
          <w:color w:val="000000"/>
          <w:sz w:val="24"/>
          <w:szCs w:val="24"/>
        </w:rPr>
        <w:t xml:space="preserve">. </w:t>
      </w:r>
    </w:p>
    <w:p w:rsidR="000B1726" w:rsidRPr="00482EAD" w:rsidRDefault="000B1726" w:rsidP="000B1726">
      <w:pPr>
        <w:spacing w:before="120" w:after="120" w:line="259" w:lineRule="auto"/>
        <w:rPr>
          <w:rFonts w:ascii="Calibri" w:eastAsia="Calibri" w:hAnsi="Calibri" w:cs="Times New Roman"/>
          <w:b/>
          <w:bCs/>
          <w:i/>
          <w:color w:val="000000"/>
          <w:sz w:val="24"/>
          <w:szCs w:val="24"/>
        </w:rPr>
      </w:pPr>
      <w:r w:rsidRPr="0034584A">
        <w:rPr>
          <w:rFonts w:ascii="Calibri" w:eastAsia="Calibri" w:hAnsi="Calibri" w:cs="Times New Roman"/>
          <w:b/>
          <w:bCs/>
          <w:i/>
          <w:color w:val="002060"/>
          <w:sz w:val="24"/>
          <w:szCs w:val="24"/>
        </w:rPr>
        <w:t xml:space="preserve">Comment: </w:t>
      </w:r>
      <w:r w:rsidR="000D5EDC">
        <w:rPr>
          <w:rFonts w:ascii="Calibri" w:eastAsia="Calibri" w:hAnsi="Calibri" w:cs="Times New Roman"/>
          <w:b/>
          <w:bCs/>
          <w:i/>
          <w:color w:val="002060"/>
          <w:sz w:val="24"/>
          <w:szCs w:val="24"/>
        </w:rPr>
        <w:t>This complaint info is now shaping the CFPB’s enforcement direction toward the debt collection and reporting area and away from traditional banking issues.</w:t>
      </w:r>
      <w:r w:rsidR="00EF0403" w:rsidRPr="00EF0403">
        <w:t xml:space="preserve"> </w:t>
      </w:r>
      <w:r w:rsidR="00EF0403" w:rsidRPr="00EF0403">
        <w:rPr>
          <w:b/>
          <w:color w:val="002060"/>
        </w:rPr>
        <w:t>And w</w:t>
      </w:r>
      <w:r w:rsidR="00EF0403" w:rsidRPr="00EF0403">
        <w:rPr>
          <w:rFonts w:ascii="Calibri" w:eastAsia="Calibri" w:hAnsi="Calibri" w:cs="Times New Roman"/>
          <w:b/>
          <w:bCs/>
          <w:i/>
          <w:color w:val="002060"/>
          <w:sz w:val="24"/>
          <w:szCs w:val="24"/>
        </w:rPr>
        <w:t xml:space="preserve">hile the new report includes overall complaint volume information by product and state </w:t>
      </w:r>
      <w:r w:rsidR="00EF0403">
        <w:rPr>
          <w:rFonts w:ascii="Calibri" w:eastAsia="Calibri" w:hAnsi="Calibri" w:cs="Times New Roman"/>
          <w:b/>
          <w:bCs/>
          <w:i/>
          <w:color w:val="002060"/>
          <w:sz w:val="24"/>
          <w:szCs w:val="24"/>
        </w:rPr>
        <w:t>(</w:t>
      </w:r>
      <w:r w:rsidR="00EF0403" w:rsidRPr="00EF0403">
        <w:rPr>
          <w:rFonts w:ascii="Calibri" w:eastAsia="Calibri" w:hAnsi="Calibri" w:cs="Times New Roman"/>
          <w:b/>
          <w:bCs/>
          <w:i/>
          <w:color w:val="002060"/>
          <w:sz w:val="24"/>
          <w:szCs w:val="24"/>
        </w:rPr>
        <w:t>that was previously part of the CFPB’s monthly complaint reports</w:t>
      </w:r>
      <w:r w:rsidR="00EF0403">
        <w:rPr>
          <w:rFonts w:ascii="Calibri" w:eastAsia="Calibri" w:hAnsi="Calibri" w:cs="Times New Roman"/>
          <w:b/>
          <w:bCs/>
          <w:i/>
          <w:color w:val="002060"/>
          <w:sz w:val="24"/>
          <w:szCs w:val="24"/>
        </w:rPr>
        <w:t xml:space="preserve">) </w:t>
      </w:r>
      <w:r w:rsidR="00EF0403" w:rsidRPr="00EF0403">
        <w:rPr>
          <w:rFonts w:ascii="Calibri" w:eastAsia="Calibri" w:hAnsi="Calibri" w:cs="Times New Roman"/>
          <w:b/>
          <w:bCs/>
          <w:i/>
          <w:color w:val="002060"/>
          <w:sz w:val="24"/>
          <w:szCs w:val="24"/>
        </w:rPr>
        <w:t>it does not include complaint volume information by company (i.e. the “top 10 most-complained about companies.”)</w:t>
      </w:r>
    </w:p>
    <w:p w:rsidR="00063F3D" w:rsidRPr="00436AD8" w:rsidRDefault="00063F3D" w:rsidP="00063F3D">
      <w:pPr>
        <w:pStyle w:val="CCTOCHeading"/>
        <w:tabs>
          <w:tab w:val="left" w:pos="8712"/>
        </w:tabs>
        <w:spacing w:line="259" w:lineRule="auto"/>
        <w:rPr>
          <w:rFonts w:asciiTheme="minorHAnsi" w:hAnsiTheme="minorHAnsi" w:cstheme="minorHAnsi"/>
        </w:rPr>
      </w:pPr>
      <w:bookmarkStart w:id="18" w:name="_Toc517254832"/>
      <w:bookmarkStart w:id="19" w:name="_Hlk514920383"/>
      <w:bookmarkEnd w:id="17"/>
      <w:r w:rsidRPr="00436AD8">
        <w:rPr>
          <w:rFonts w:asciiTheme="minorHAnsi" w:hAnsiTheme="minorHAnsi" w:cstheme="minorHAnsi"/>
        </w:rPr>
        <w:lastRenderedPageBreak/>
        <w:t>FDIC actions</w:t>
      </w:r>
      <w:bookmarkEnd w:id="11"/>
      <w:r w:rsidRPr="00436AD8">
        <w:rPr>
          <w:rFonts w:asciiTheme="minorHAnsi" w:hAnsiTheme="minorHAnsi" w:cstheme="minorHAnsi"/>
        </w:rPr>
        <w:t xml:space="preserve"> </w:t>
      </w:r>
      <w:r w:rsidRPr="006E7501">
        <w:rPr>
          <w:rFonts w:asciiTheme="minorHAnsi" w:hAnsiTheme="minorHAnsi" w:cstheme="minorHAnsi"/>
        </w:rPr>
        <w:t>and news</w:t>
      </w:r>
      <w:bookmarkEnd w:id="18"/>
    </w:p>
    <w:p w:rsidR="005749EB" w:rsidRDefault="005749EB" w:rsidP="005749EB">
      <w:pPr>
        <w:spacing w:before="120" w:after="120" w:line="259" w:lineRule="auto"/>
        <w:rPr>
          <w:rFonts w:ascii="Calibri" w:eastAsia="Calibri" w:hAnsi="Calibri" w:cs="Times New Roman"/>
          <w:b/>
          <w:bCs/>
          <w:i/>
          <w:color w:val="000000" w:themeColor="text1"/>
          <w:sz w:val="24"/>
          <w:szCs w:val="24"/>
        </w:rPr>
      </w:pPr>
      <w:bookmarkStart w:id="20" w:name="_Toc409519095"/>
      <w:bookmarkStart w:id="21" w:name="_Toc504138795"/>
      <w:bookmarkEnd w:id="12"/>
      <w:bookmarkEnd w:id="13"/>
      <w:bookmarkEnd w:id="14"/>
      <w:bookmarkEnd w:id="15"/>
      <w:bookmarkEnd w:id="16"/>
      <w:bookmarkEnd w:id="19"/>
      <w:r w:rsidRPr="005749EB">
        <w:rPr>
          <w:rFonts w:ascii="Calibri" w:eastAsia="Calibri" w:hAnsi="Calibri" w:cs="Times New Roman"/>
          <w:b/>
          <w:bCs/>
          <w:i/>
          <w:color w:val="000000" w:themeColor="text1"/>
          <w:sz w:val="24"/>
          <w:szCs w:val="24"/>
        </w:rPr>
        <w:t>Newly Formed Money Smart Advance Team Will Get Early Access to, Training on, Updated Money Smart for Adults</w:t>
      </w:r>
      <w:r>
        <w:rPr>
          <w:rFonts w:ascii="Calibri" w:eastAsia="Calibri" w:hAnsi="Calibri" w:cs="Times New Roman"/>
          <w:b/>
          <w:bCs/>
          <w:i/>
          <w:color w:val="000000" w:themeColor="text1"/>
          <w:sz w:val="24"/>
          <w:szCs w:val="24"/>
        </w:rPr>
        <w:t xml:space="preserve"> (06.07.2018)</w:t>
      </w:r>
    </w:p>
    <w:p w:rsidR="005749EB" w:rsidRPr="005749EB" w:rsidRDefault="005749EB" w:rsidP="005749EB">
      <w:pPr>
        <w:spacing w:before="120" w:after="120" w:line="259" w:lineRule="auto"/>
        <w:rPr>
          <w:rFonts w:ascii="Calibri" w:eastAsia="Calibri" w:hAnsi="Calibri" w:cs="Times New Roman"/>
          <w:bCs/>
          <w:color w:val="000000" w:themeColor="text1"/>
          <w:sz w:val="24"/>
          <w:szCs w:val="24"/>
        </w:rPr>
      </w:pPr>
      <w:r w:rsidRPr="005749EB">
        <w:rPr>
          <w:rFonts w:ascii="Calibri" w:eastAsia="Calibri" w:hAnsi="Calibri" w:cs="Times New Roman"/>
          <w:bCs/>
          <w:color w:val="000000" w:themeColor="text1"/>
          <w:sz w:val="24"/>
          <w:szCs w:val="24"/>
        </w:rPr>
        <w:t>The FDIC has formed the new Money Smart Advance Team (MSAT). Banks that engage in financial education activities, or plan to do so, and who join the MSAT will get an early look at the updated instructor-led Money Smart for Adults curriculum, scheduled for release in September, and other benefits.</w:t>
      </w:r>
    </w:p>
    <w:p w:rsidR="005749EB" w:rsidRPr="005749EB" w:rsidRDefault="005749EB" w:rsidP="005749EB">
      <w:pPr>
        <w:spacing w:before="120" w:after="120" w:line="259" w:lineRule="auto"/>
        <w:rPr>
          <w:rFonts w:ascii="Calibri" w:eastAsia="Calibri" w:hAnsi="Calibri" w:cs="Times New Roman"/>
          <w:b/>
          <w:bCs/>
          <w:color w:val="000000" w:themeColor="text1"/>
          <w:sz w:val="24"/>
          <w:szCs w:val="24"/>
        </w:rPr>
      </w:pPr>
      <w:r w:rsidRPr="005749EB">
        <w:rPr>
          <w:rFonts w:ascii="Calibri" w:eastAsia="Calibri" w:hAnsi="Calibri" w:cs="Times New Roman"/>
          <w:b/>
          <w:bCs/>
          <w:color w:val="000000" w:themeColor="text1"/>
          <w:sz w:val="24"/>
          <w:szCs w:val="24"/>
        </w:rPr>
        <w:t xml:space="preserve">Statement of Applicability to Institutions with Total Assets Less Than $1 Billion: </w:t>
      </w:r>
    </w:p>
    <w:p w:rsidR="005749EB" w:rsidRPr="005749EB" w:rsidRDefault="005749EB" w:rsidP="005749EB">
      <w:pPr>
        <w:spacing w:before="120" w:after="120" w:line="259" w:lineRule="auto"/>
        <w:rPr>
          <w:rFonts w:ascii="Calibri" w:eastAsia="Calibri" w:hAnsi="Calibri" w:cs="Times New Roman"/>
          <w:bCs/>
          <w:color w:val="000000" w:themeColor="text1"/>
          <w:sz w:val="24"/>
          <w:szCs w:val="24"/>
        </w:rPr>
      </w:pPr>
      <w:r w:rsidRPr="005749EB">
        <w:rPr>
          <w:rFonts w:ascii="Calibri" w:eastAsia="Calibri" w:hAnsi="Calibri" w:cs="Times New Roman"/>
          <w:bCs/>
          <w:color w:val="000000" w:themeColor="text1"/>
          <w:sz w:val="24"/>
          <w:szCs w:val="24"/>
        </w:rPr>
        <w:t>This Financial Institution Letter (FIL) applies to all FDIC-insured institutions.</w:t>
      </w:r>
    </w:p>
    <w:p w:rsidR="005749EB" w:rsidRPr="005749EB" w:rsidRDefault="005749EB" w:rsidP="005749EB">
      <w:pPr>
        <w:spacing w:before="120" w:after="120" w:line="259" w:lineRule="auto"/>
        <w:rPr>
          <w:rFonts w:ascii="Calibri" w:eastAsia="Calibri" w:hAnsi="Calibri" w:cs="Times New Roman"/>
          <w:b/>
          <w:bCs/>
          <w:color w:val="000000" w:themeColor="text1"/>
          <w:sz w:val="24"/>
          <w:szCs w:val="24"/>
        </w:rPr>
      </w:pPr>
      <w:r w:rsidRPr="005749EB">
        <w:rPr>
          <w:rFonts w:ascii="Calibri" w:eastAsia="Calibri" w:hAnsi="Calibri" w:cs="Times New Roman"/>
          <w:b/>
          <w:bCs/>
          <w:color w:val="000000" w:themeColor="text1"/>
          <w:sz w:val="24"/>
          <w:szCs w:val="24"/>
        </w:rPr>
        <w:t>Highlights:</w:t>
      </w:r>
    </w:p>
    <w:p w:rsidR="005749EB" w:rsidRPr="00C71A01" w:rsidRDefault="005749EB" w:rsidP="00C71A01">
      <w:pPr>
        <w:pStyle w:val="ListParagraph"/>
        <w:numPr>
          <w:ilvl w:val="0"/>
          <w:numId w:val="36"/>
        </w:numPr>
        <w:spacing w:before="120" w:after="120" w:line="259" w:lineRule="auto"/>
        <w:rPr>
          <w:rFonts w:ascii="Calibri" w:eastAsia="Calibri" w:hAnsi="Calibri"/>
          <w:bCs/>
          <w:color w:val="000000" w:themeColor="text1"/>
        </w:rPr>
      </w:pPr>
      <w:r w:rsidRPr="00C71A01">
        <w:rPr>
          <w:rFonts w:ascii="Calibri" w:eastAsia="Calibri" w:hAnsi="Calibri"/>
          <w:bCs/>
          <w:color w:val="000000" w:themeColor="text1"/>
        </w:rPr>
        <w:t>The Federal Deposit Insurance Corporation (FDIC) formed the Money Smart Advance Team (MSAT).</w:t>
      </w:r>
    </w:p>
    <w:p w:rsidR="005749EB" w:rsidRPr="00C71A01" w:rsidRDefault="005749EB" w:rsidP="00C71A01">
      <w:pPr>
        <w:pStyle w:val="ListParagraph"/>
        <w:numPr>
          <w:ilvl w:val="0"/>
          <w:numId w:val="36"/>
        </w:numPr>
        <w:spacing w:before="120" w:after="120" w:line="259" w:lineRule="auto"/>
        <w:rPr>
          <w:rFonts w:ascii="Calibri" w:eastAsia="Calibri" w:hAnsi="Calibri"/>
          <w:bCs/>
          <w:color w:val="000000" w:themeColor="text1"/>
        </w:rPr>
      </w:pPr>
      <w:r w:rsidRPr="00C71A01">
        <w:rPr>
          <w:rFonts w:ascii="Calibri" w:eastAsia="Calibri" w:hAnsi="Calibri"/>
          <w:bCs/>
          <w:color w:val="000000" w:themeColor="text1"/>
        </w:rPr>
        <w:t>The MSAT, a subset of the Money Smart Alliance, will operate through winter 2019.</w:t>
      </w:r>
    </w:p>
    <w:p w:rsidR="005749EB" w:rsidRPr="00C71A01" w:rsidRDefault="005749EB" w:rsidP="00C71A01">
      <w:pPr>
        <w:pStyle w:val="ListParagraph"/>
        <w:numPr>
          <w:ilvl w:val="0"/>
          <w:numId w:val="36"/>
        </w:numPr>
        <w:spacing w:before="120" w:after="120" w:line="259" w:lineRule="auto"/>
        <w:rPr>
          <w:rFonts w:ascii="Calibri" w:eastAsia="Calibri" w:hAnsi="Calibri"/>
          <w:bCs/>
          <w:color w:val="000000" w:themeColor="text1"/>
        </w:rPr>
      </w:pPr>
      <w:r w:rsidRPr="00C71A01">
        <w:rPr>
          <w:rFonts w:ascii="Calibri" w:eastAsia="Calibri" w:hAnsi="Calibri"/>
          <w:bCs/>
          <w:color w:val="000000" w:themeColor="text1"/>
        </w:rPr>
        <w:t>The benefits to joining the MSAT for banks and other eligible member organizations include: Advanced copies of the updated instructor-led Money Smart for Adults products;</w:t>
      </w:r>
    </w:p>
    <w:p w:rsidR="005749EB" w:rsidRPr="00C71A01" w:rsidRDefault="005749EB" w:rsidP="00C71A01">
      <w:pPr>
        <w:pStyle w:val="ListParagraph"/>
        <w:numPr>
          <w:ilvl w:val="0"/>
          <w:numId w:val="36"/>
        </w:numPr>
        <w:spacing w:before="120" w:after="120" w:line="259" w:lineRule="auto"/>
        <w:rPr>
          <w:rFonts w:ascii="Calibri" w:eastAsia="Calibri" w:hAnsi="Calibri"/>
          <w:bCs/>
          <w:color w:val="000000" w:themeColor="text1"/>
        </w:rPr>
      </w:pPr>
      <w:r w:rsidRPr="00C71A01">
        <w:rPr>
          <w:rFonts w:ascii="Calibri" w:eastAsia="Calibri" w:hAnsi="Calibri"/>
          <w:bCs/>
          <w:color w:val="000000" w:themeColor="text1"/>
        </w:rPr>
        <w:t>Training to orient their staff to the new materials prior to public offering; and</w:t>
      </w:r>
    </w:p>
    <w:p w:rsidR="005749EB" w:rsidRPr="00C71A01" w:rsidRDefault="005749EB" w:rsidP="00C71A01">
      <w:pPr>
        <w:pStyle w:val="ListParagraph"/>
        <w:numPr>
          <w:ilvl w:val="0"/>
          <w:numId w:val="36"/>
        </w:numPr>
        <w:spacing w:before="120" w:after="120" w:line="259" w:lineRule="auto"/>
        <w:rPr>
          <w:rFonts w:ascii="Calibri" w:eastAsia="Calibri" w:hAnsi="Calibri"/>
          <w:bCs/>
          <w:color w:val="000000" w:themeColor="text1"/>
        </w:rPr>
      </w:pPr>
      <w:r w:rsidRPr="00C71A01">
        <w:rPr>
          <w:rFonts w:ascii="Calibri" w:eastAsia="Calibri" w:hAnsi="Calibri"/>
          <w:bCs/>
          <w:color w:val="000000" w:themeColor="text1"/>
        </w:rPr>
        <w:t>Eligibility for recognition in a special edition of Money Smart News in 2019 that will highlight several noteworthy examples of curriculum implementation.</w:t>
      </w:r>
    </w:p>
    <w:p w:rsidR="005749EB" w:rsidRPr="00C71A01" w:rsidRDefault="005749EB" w:rsidP="00C71A01">
      <w:pPr>
        <w:pStyle w:val="ListParagraph"/>
        <w:numPr>
          <w:ilvl w:val="0"/>
          <w:numId w:val="36"/>
        </w:numPr>
        <w:spacing w:before="120" w:after="120" w:line="259" w:lineRule="auto"/>
        <w:rPr>
          <w:rFonts w:ascii="Calibri" w:eastAsia="Calibri" w:hAnsi="Calibri"/>
          <w:bCs/>
          <w:color w:val="000000" w:themeColor="text1"/>
        </w:rPr>
      </w:pPr>
      <w:r w:rsidRPr="00C71A01">
        <w:rPr>
          <w:rFonts w:ascii="Calibri" w:eastAsia="Calibri" w:hAnsi="Calibri"/>
          <w:bCs/>
          <w:color w:val="000000" w:themeColor="text1"/>
        </w:rPr>
        <w:t>To join the MSAT, current Money Smart Alliance members will need to add Money Smart for Adults to their member profile by August 1, 2018.</w:t>
      </w:r>
    </w:p>
    <w:p w:rsidR="005749EB" w:rsidRPr="00C71A01" w:rsidRDefault="005749EB" w:rsidP="00C71A01">
      <w:pPr>
        <w:pStyle w:val="ListParagraph"/>
        <w:numPr>
          <w:ilvl w:val="0"/>
          <w:numId w:val="36"/>
        </w:numPr>
        <w:spacing w:before="120" w:after="120" w:line="259" w:lineRule="auto"/>
        <w:rPr>
          <w:rFonts w:ascii="Calibri" w:eastAsia="Calibri" w:hAnsi="Calibri"/>
          <w:bCs/>
          <w:color w:val="000000" w:themeColor="text1"/>
        </w:rPr>
      </w:pPr>
      <w:r w:rsidRPr="00C71A01">
        <w:rPr>
          <w:rFonts w:ascii="Calibri" w:eastAsia="Calibri" w:hAnsi="Calibri"/>
          <w:bCs/>
          <w:color w:val="000000" w:themeColor="text1"/>
        </w:rPr>
        <w:t>To apply for Money Smart Alliance membership and join the MSAT, visit the website by July 1, 2018, and indicate your organization's planned use of Money Smart for Adults during the enrollment process.</w:t>
      </w:r>
    </w:p>
    <w:p w:rsidR="005749EB" w:rsidRPr="00C71A01" w:rsidRDefault="005749EB" w:rsidP="00C71A01">
      <w:pPr>
        <w:pStyle w:val="ListParagraph"/>
        <w:numPr>
          <w:ilvl w:val="0"/>
          <w:numId w:val="36"/>
        </w:numPr>
        <w:spacing w:before="120" w:after="120" w:line="259" w:lineRule="auto"/>
        <w:rPr>
          <w:rFonts w:ascii="Calibri" w:eastAsia="Calibri" w:hAnsi="Calibri"/>
          <w:bCs/>
          <w:color w:val="000000" w:themeColor="text1"/>
        </w:rPr>
      </w:pPr>
      <w:r w:rsidRPr="00C71A01">
        <w:rPr>
          <w:rFonts w:ascii="Calibri" w:eastAsia="Calibri" w:hAnsi="Calibri"/>
          <w:bCs/>
          <w:color w:val="000000" w:themeColor="text1"/>
        </w:rPr>
        <w:t>The updated Money Smart for Adults, expected to be released in September of 2018, will feature new design, content, activities, and modules; modernized learning tools; and will incorporate instructional best practices and feedback from users.</w:t>
      </w:r>
    </w:p>
    <w:p w:rsidR="005749EB" w:rsidRDefault="005749EB" w:rsidP="005749EB">
      <w:pPr>
        <w:spacing w:before="120" w:after="120" w:line="259" w:lineRule="auto"/>
        <w:rPr>
          <w:rFonts w:ascii="Calibri" w:eastAsia="Calibri" w:hAnsi="Calibri" w:cs="Times New Roman"/>
          <w:bCs/>
          <w:color w:val="000000" w:themeColor="text1"/>
          <w:sz w:val="24"/>
          <w:szCs w:val="24"/>
        </w:rPr>
      </w:pPr>
      <w:r w:rsidRPr="005749EB">
        <w:rPr>
          <w:rFonts w:ascii="Calibri" w:eastAsia="Calibri" w:hAnsi="Calibri" w:cs="Times New Roman"/>
          <w:bCs/>
          <w:color w:val="000000" w:themeColor="text1"/>
          <w:sz w:val="24"/>
          <w:szCs w:val="24"/>
        </w:rPr>
        <w:t xml:space="preserve">To learn more about Money Smart and other financial education resources from the FDIC, visit </w:t>
      </w:r>
      <w:hyperlink r:id="rId14" w:history="1">
        <w:r w:rsidRPr="00692233">
          <w:rPr>
            <w:rStyle w:val="Hyperlink"/>
            <w:rFonts w:ascii="Calibri" w:eastAsia="Calibri" w:hAnsi="Calibri"/>
            <w:bCs/>
            <w:sz w:val="24"/>
            <w:szCs w:val="24"/>
          </w:rPr>
          <w:t>www.fdic.gov/education</w:t>
        </w:r>
      </w:hyperlink>
      <w:r w:rsidRPr="005749EB">
        <w:rPr>
          <w:rFonts w:ascii="Calibri" w:eastAsia="Calibri" w:hAnsi="Calibri" w:cs="Times New Roman"/>
          <w:bCs/>
          <w:color w:val="000000" w:themeColor="text1"/>
          <w:sz w:val="24"/>
          <w:szCs w:val="24"/>
        </w:rPr>
        <w:t>.</w:t>
      </w:r>
    </w:p>
    <w:p w:rsidR="005A7FB7" w:rsidRDefault="005A7FB7" w:rsidP="005749EB">
      <w:pPr>
        <w:spacing w:before="120" w:after="120" w:line="259" w:lineRule="auto"/>
        <w:rPr>
          <w:rFonts w:ascii="Calibri" w:eastAsia="Calibri" w:hAnsi="Calibri" w:cs="Times New Roman"/>
          <w:bCs/>
          <w:color w:val="000000"/>
          <w:sz w:val="24"/>
          <w:szCs w:val="24"/>
        </w:rPr>
      </w:pPr>
      <w:r w:rsidRPr="00482EAD">
        <w:rPr>
          <w:rFonts w:ascii="Calibri" w:eastAsia="Calibri" w:hAnsi="Calibri" w:cs="Times New Roman"/>
          <w:b/>
          <w:bCs/>
          <w:color w:val="000000"/>
          <w:sz w:val="24"/>
          <w:szCs w:val="24"/>
        </w:rPr>
        <w:t>Source</w:t>
      </w:r>
      <w:r w:rsidRPr="00CE05FF">
        <w:rPr>
          <w:rFonts w:ascii="Calibri" w:eastAsia="Calibri" w:hAnsi="Calibri" w:cs="Times New Roman"/>
          <w:bCs/>
          <w:color w:val="000000"/>
          <w:sz w:val="24"/>
          <w:szCs w:val="24"/>
        </w:rPr>
        <w:t xml:space="preserve"> </w:t>
      </w:r>
      <w:hyperlink r:id="rId15" w:history="1">
        <w:r w:rsidRPr="005749EB">
          <w:rPr>
            <w:rStyle w:val="Hyperlink"/>
            <w:rFonts w:ascii="Calibri" w:eastAsia="Calibri" w:hAnsi="Calibri"/>
            <w:sz w:val="24"/>
            <w:szCs w:val="24"/>
          </w:rPr>
          <w:t>link</w:t>
        </w:r>
      </w:hyperlink>
      <w:r w:rsidRPr="00CE05FF">
        <w:rPr>
          <w:rFonts w:ascii="Calibri" w:eastAsia="Calibri" w:hAnsi="Calibri" w:cs="Times New Roman"/>
          <w:bCs/>
          <w:color w:val="000000"/>
          <w:sz w:val="24"/>
          <w:szCs w:val="24"/>
        </w:rPr>
        <w:t xml:space="preserve">. </w:t>
      </w:r>
    </w:p>
    <w:p w:rsidR="005A7FB7" w:rsidRPr="00482EAD" w:rsidRDefault="005A7FB7" w:rsidP="005A7FB7">
      <w:pPr>
        <w:spacing w:before="120" w:after="120" w:line="259" w:lineRule="auto"/>
        <w:rPr>
          <w:rFonts w:ascii="Calibri" w:eastAsia="Calibri" w:hAnsi="Calibri" w:cs="Times New Roman"/>
          <w:b/>
          <w:bCs/>
          <w:i/>
          <w:color w:val="000000"/>
          <w:sz w:val="24"/>
          <w:szCs w:val="24"/>
        </w:rPr>
      </w:pPr>
      <w:r w:rsidRPr="0034584A">
        <w:rPr>
          <w:rFonts w:ascii="Calibri" w:eastAsia="Calibri" w:hAnsi="Calibri" w:cs="Times New Roman"/>
          <w:b/>
          <w:bCs/>
          <w:i/>
          <w:color w:val="002060"/>
          <w:sz w:val="24"/>
          <w:szCs w:val="24"/>
        </w:rPr>
        <w:t xml:space="preserve">Comment: </w:t>
      </w:r>
      <w:r w:rsidR="00872177" w:rsidRPr="00872177">
        <w:rPr>
          <w:rFonts w:ascii="Calibri" w:eastAsia="Calibri" w:hAnsi="Calibri" w:cs="Times New Roman"/>
          <w:b/>
          <w:bCs/>
          <w:i/>
          <w:color w:val="002060"/>
          <w:sz w:val="24"/>
          <w:szCs w:val="24"/>
        </w:rPr>
        <w:t xml:space="preserve">The MSAT is open to all federally insured banks and savings institutions that engage, or plan to engage, in financial education activities. </w:t>
      </w:r>
      <w:r w:rsidR="00872177">
        <w:rPr>
          <w:rFonts w:ascii="Calibri" w:eastAsia="Calibri" w:hAnsi="Calibri" w:cs="Times New Roman"/>
          <w:b/>
          <w:bCs/>
          <w:i/>
          <w:color w:val="002060"/>
          <w:sz w:val="24"/>
          <w:szCs w:val="24"/>
        </w:rPr>
        <w:t>T</w:t>
      </w:r>
      <w:r w:rsidR="00872177" w:rsidRPr="00872177">
        <w:rPr>
          <w:rFonts w:ascii="Calibri" w:eastAsia="Calibri" w:hAnsi="Calibri" w:cs="Times New Roman"/>
          <w:b/>
          <w:bCs/>
          <w:i/>
          <w:color w:val="002060"/>
          <w:sz w:val="24"/>
          <w:szCs w:val="24"/>
        </w:rPr>
        <w:t xml:space="preserve">he MSAT will operate through winter </w:t>
      </w:r>
      <w:r w:rsidR="00872177">
        <w:rPr>
          <w:rFonts w:ascii="Calibri" w:eastAsia="Calibri" w:hAnsi="Calibri" w:cs="Times New Roman"/>
          <w:b/>
          <w:bCs/>
          <w:i/>
          <w:color w:val="002060"/>
          <w:sz w:val="24"/>
          <w:szCs w:val="24"/>
        </w:rPr>
        <w:t>2019</w:t>
      </w:r>
      <w:r w:rsidR="00872177" w:rsidRPr="00872177">
        <w:rPr>
          <w:rFonts w:ascii="Calibri" w:eastAsia="Calibri" w:hAnsi="Calibri" w:cs="Times New Roman"/>
          <w:b/>
          <w:bCs/>
          <w:i/>
          <w:color w:val="002060"/>
          <w:sz w:val="24"/>
          <w:szCs w:val="24"/>
        </w:rPr>
        <w:t xml:space="preserve">. </w:t>
      </w:r>
      <w:r w:rsidR="000D5EDC">
        <w:rPr>
          <w:rFonts w:ascii="Calibri" w:eastAsia="Calibri" w:hAnsi="Calibri" w:cs="Times New Roman"/>
          <w:b/>
          <w:bCs/>
          <w:i/>
          <w:color w:val="002060"/>
          <w:sz w:val="24"/>
          <w:szCs w:val="24"/>
        </w:rPr>
        <w:t>This program is an excellent resource for banks to use in conjunction with their CRA efforts in promoting financial literacy.</w:t>
      </w:r>
    </w:p>
    <w:p w:rsidR="00063F3D" w:rsidRDefault="00063F3D" w:rsidP="00063F3D">
      <w:pPr>
        <w:spacing w:before="120" w:after="120" w:line="259" w:lineRule="auto"/>
        <w:rPr>
          <w:rFonts w:ascii="Calibri" w:eastAsia="Calibri" w:hAnsi="Calibri" w:cs="Times New Roman"/>
          <w:b/>
          <w:bCs/>
          <w:i/>
          <w:color w:val="000000" w:themeColor="text1"/>
          <w:sz w:val="24"/>
          <w:szCs w:val="24"/>
        </w:rPr>
      </w:pPr>
    </w:p>
    <w:p w:rsidR="00987CF4" w:rsidRDefault="00987CF4" w:rsidP="005A7FB7">
      <w:pPr>
        <w:spacing w:before="120" w:after="120" w:line="259" w:lineRule="auto"/>
        <w:rPr>
          <w:rFonts w:ascii="Calibri" w:eastAsia="Calibri" w:hAnsi="Calibri" w:cs="Times New Roman"/>
          <w:b/>
          <w:bCs/>
          <w:i/>
          <w:color w:val="000000" w:themeColor="text1"/>
          <w:sz w:val="24"/>
          <w:szCs w:val="24"/>
        </w:rPr>
      </w:pPr>
      <w:r w:rsidRPr="00987CF4">
        <w:rPr>
          <w:rFonts w:ascii="Calibri" w:eastAsia="Calibri" w:hAnsi="Calibri" w:cs="Times New Roman"/>
          <w:b/>
          <w:bCs/>
          <w:i/>
          <w:color w:val="000000" w:themeColor="text1"/>
          <w:sz w:val="24"/>
          <w:szCs w:val="24"/>
        </w:rPr>
        <w:t>FDIC-Insured Institutions Report $56 Billion in Net Income in First Quarter 2018</w:t>
      </w:r>
      <w:r>
        <w:rPr>
          <w:rFonts w:ascii="Calibri" w:eastAsia="Calibri" w:hAnsi="Calibri" w:cs="Times New Roman"/>
          <w:b/>
          <w:bCs/>
          <w:i/>
          <w:color w:val="000000" w:themeColor="text1"/>
          <w:sz w:val="24"/>
          <w:szCs w:val="24"/>
        </w:rPr>
        <w:t xml:space="preserve"> (05.22.2018)</w:t>
      </w:r>
    </w:p>
    <w:p w:rsidR="00987CF4" w:rsidRPr="00987CF4" w:rsidRDefault="00987CF4" w:rsidP="00987CF4">
      <w:pPr>
        <w:spacing w:before="120" w:after="120" w:line="259" w:lineRule="auto"/>
        <w:rPr>
          <w:rFonts w:ascii="Calibri" w:eastAsia="Calibri" w:hAnsi="Calibri" w:cs="Times New Roman"/>
          <w:bCs/>
          <w:color w:val="000000" w:themeColor="text1"/>
          <w:sz w:val="24"/>
          <w:szCs w:val="24"/>
        </w:rPr>
      </w:pPr>
      <w:r w:rsidRPr="00987CF4">
        <w:rPr>
          <w:rFonts w:ascii="Calibri" w:eastAsia="Calibri" w:hAnsi="Calibri" w:cs="Times New Roman"/>
          <w:bCs/>
          <w:color w:val="000000" w:themeColor="text1"/>
          <w:sz w:val="24"/>
          <w:szCs w:val="24"/>
        </w:rPr>
        <w:t>Highlights from the First Quarter</w:t>
      </w:r>
      <w:r>
        <w:rPr>
          <w:rFonts w:ascii="Calibri" w:eastAsia="Calibri" w:hAnsi="Calibri" w:cs="Times New Roman"/>
          <w:bCs/>
          <w:color w:val="000000" w:themeColor="text1"/>
          <w:sz w:val="24"/>
          <w:szCs w:val="24"/>
        </w:rPr>
        <w:t xml:space="preserve"> 2018 Quarterly Banking Profile</w:t>
      </w:r>
    </w:p>
    <w:p w:rsidR="00987CF4" w:rsidRPr="00987CF4" w:rsidRDefault="00987CF4" w:rsidP="00987CF4">
      <w:pPr>
        <w:spacing w:before="120" w:after="120" w:line="259" w:lineRule="auto"/>
        <w:rPr>
          <w:rFonts w:ascii="Calibri" w:eastAsia="Calibri" w:hAnsi="Calibri" w:cs="Times New Roman"/>
          <w:bCs/>
          <w:color w:val="000000" w:themeColor="text1"/>
          <w:sz w:val="24"/>
          <w:szCs w:val="24"/>
        </w:rPr>
      </w:pPr>
      <w:r w:rsidRPr="00987CF4">
        <w:rPr>
          <w:rFonts w:ascii="Calibri" w:eastAsia="Calibri" w:hAnsi="Calibri" w:cs="Times New Roman"/>
          <w:b/>
          <w:bCs/>
          <w:color w:val="000000" w:themeColor="text1"/>
          <w:sz w:val="24"/>
          <w:szCs w:val="24"/>
        </w:rPr>
        <w:t>Industry Net Income Increases 27.5 Percent from a Year Earlier Due to Higher Net Operating Revenue and a Lower Effective Tax Rate:</w:t>
      </w:r>
      <w:r w:rsidRPr="00987CF4">
        <w:rPr>
          <w:rFonts w:ascii="Calibri" w:eastAsia="Calibri" w:hAnsi="Calibri" w:cs="Times New Roman"/>
          <w:bCs/>
          <w:color w:val="000000" w:themeColor="text1"/>
          <w:sz w:val="24"/>
          <w:szCs w:val="24"/>
        </w:rPr>
        <w:t xml:space="preserve"> Quarterly earnings totaled $56 billion for the first quarter, up $12.1 billion (27.5 percent) from 12 months ago. Increases in net interest income and noninterest income both contributed to the higher net operating revenue. The average return on assets increased to 1.28 percent, up from 1.04</w:t>
      </w:r>
      <w:r>
        <w:rPr>
          <w:rFonts w:ascii="Calibri" w:eastAsia="Calibri" w:hAnsi="Calibri" w:cs="Times New Roman"/>
          <w:bCs/>
          <w:color w:val="000000" w:themeColor="text1"/>
          <w:sz w:val="24"/>
          <w:szCs w:val="24"/>
        </w:rPr>
        <w:t xml:space="preserve"> percent in first quarter 2017.</w:t>
      </w:r>
    </w:p>
    <w:p w:rsidR="00987CF4" w:rsidRPr="00987CF4" w:rsidRDefault="00987CF4" w:rsidP="00987CF4">
      <w:pPr>
        <w:spacing w:before="120" w:after="120" w:line="259" w:lineRule="auto"/>
        <w:rPr>
          <w:rFonts w:ascii="Calibri" w:eastAsia="Calibri" w:hAnsi="Calibri" w:cs="Times New Roman"/>
          <w:bCs/>
          <w:color w:val="000000" w:themeColor="text1"/>
          <w:sz w:val="24"/>
          <w:szCs w:val="24"/>
        </w:rPr>
      </w:pPr>
      <w:r w:rsidRPr="001A1999">
        <w:rPr>
          <w:rFonts w:ascii="Calibri" w:eastAsia="Calibri" w:hAnsi="Calibri" w:cs="Times New Roman"/>
          <w:b/>
          <w:bCs/>
          <w:color w:val="000000" w:themeColor="text1"/>
          <w:sz w:val="24"/>
          <w:szCs w:val="24"/>
        </w:rPr>
        <w:lastRenderedPageBreak/>
        <w:t>Community Bank Net Income Increases 17.7 Percent from First Quarter 2017</w:t>
      </w:r>
      <w:r w:rsidRPr="00987CF4">
        <w:rPr>
          <w:rFonts w:ascii="Calibri" w:eastAsia="Calibri" w:hAnsi="Calibri" w:cs="Times New Roman"/>
          <w:bCs/>
          <w:color w:val="000000" w:themeColor="text1"/>
          <w:sz w:val="24"/>
          <w:szCs w:val="24"/>
        </w:rPr>
        <w:t>: In the first quarter, 5,168 insured institutions identified as community banks reported $6.1 billion in net income, an increase of $913.1 million (17.7 percent) from a year earlier. Higher net operating revenue and a lower effective tax rate boosted first quarter net income. Net operating revenue rose by $1.8 billion (8.3 percent) from first quarter 2017, led by higher net interest income (up $1.6 billion, or 9.7 percent) and noninterest income (up $127.6 million, or 2.9 percent). Loan-loss provisions increased by $154.1 million (23.7 percent), while noninterest expenses were $963.</w:t>
      </w:r>
      <w:r>
        <w:rPr>
          <w:rFonts w:ascii="Calibri" w:eastAsia="Calibri" w:hAnsi="Calibri" w:cs="Times New Roman"/>
          <w:bCs/>
          <w:color w:val="000000" w:themeColor="text1"/>
          <w:sz w:val="24"/>
          <w:szCs w:val="24"/>
        </w:rPr>
        <w:t>9 million (6.9 percent) higher.</w:t>
      </w:r>
    </w:p>
    <w:p w:rsidR="00987CF4" w:rsidRPr="00987CF4" w:rsidRDefault="00987CF4" w:rsidP="00987CF4">
      <w:pPr>
        <w:spacing w:before="120" w:after="120" w:line="259" w:lineRule="auto"/>
        <w:rPr>
          <w:rFonts w:ascii="Calibri" w:eastAsia="Calibri" w:hAnsi="Calibri" w:cs="Times New Roman"/>
          <w:bCs/>
          <w:color w:val="000000" w:themeColor="text1"/>
          <w:sz w:val="24"/>
          <w:szCs w:val="24"/>
        </w:rPr>
      </w:pPr>
      <w:r w:rsidRPr="001A1999">
        <w:rPr>
          <w:rFonts w:ascii="Calibri" w:eastAsia="Calibri" w:hAnsi="Calibri" w:cs="Times New Roman"/>
          <w:b/>
          <w:bCs/>
          <w:color w:val="000000" w:themeColor="text1"/>
          <w:sz w:val="24"/>
          <w:szCs w:val="24"/>
        </w:rPr>
        <w:t>Net Interest Income Rises 8.5 Percent from a Year Ago:</w:t>
      </w:r>
      <w:r w:rsidRPr="00987CF4">
        <w:rPr>
          <w:rFonts w:ascii="Calibri" w:eastAsia="Calibri" w:hAnsi="Calibri" w:cs="Times New Roman"/>
          <w:bCs/>
          <w:color w:val="000000" w:themeColor="text1"/>
          <w:sz w:val="24"/>
          <w:szCs w:val="24"/>
        </w:rPr>
        <w:t xml:space="preserve"> Net interest income was $131.3 billion in the first quarter, up $10.3 billion (8.5 percent) from a year earlier. More than four out of five banks (85.9 percent) reported an improvement in net interest income from a year earlier. The average net interest margin increased to 3.32 percent from 3.19</w:t>
      </w:r>
      <w:r>
        <w:rPr>
          <w:rFonts w:ascii="Calibri" w:eastAsia="Calibri" w:hAnsi="Calibri" w:cs="Times New Roman"/>
          <w:bCs/>
          <w:color w:val="000000" w:themeColor="text1"/>
          <w:sz w:val="24"/>
          <w:szCs w:val="24"/>
        </w:rPr>
        <w:t xml:space="preserve"> percent in first quarter 2017.</w:t>
      </w:r>
    </w:p>
    <w:p w:rsidR="00987CF4" w:rsidRPr="00987CF4" w:rsidRDefault="00987CF4" w:rsidP="00987CF4">
      <w:pPr>
        <w:spacing w:before="120" w:after="120" w:line="259" w:lineRule="auto"/>
        <w:rPr>
          <w:rFonts w:ascii="Calibri" w:eastAsia="Calibri" w:hAnsi="Calibri" w:cs="Times New Roman"/>
          <w:bCs/>
          <w:color w:val="000000" w:themeColor="text1"/>
          <w:sz w:val="24"/>
          <w:szCs w:val="24"/>
        </w:rPr>
      </w:pPr>
      <w:r w:rsidRPr="001A1999">
        <w:rPr>
          <w:rFonts w:ascii="Calibri" w:eastAsia="Calibri" w:hAnsi="Calibri" w:cs="Times New Roman"/>
          <w:b/>
          <w:bCs/>
          <w:color w:val="000000" w:themeColor="text1"/>
          <w:sz w:val="24"/>
          <w:szCs w:val="24"/>
        </w:rPr>
        <w:t>Noninterest Income Increases 7.9 Percent from a Year Earlier:</w:t>
      </w:r>
      <w:r w:rsidRPr="00987CF4">
        <w:rPr>
          <w:rFonts w:ascii="Calibri" w:eastAsia="Calibri" w:hAnsi="Calibri" w:cs="Times New Roman"/>
          <w:bCs/>
          <w:color w:val="000000" w:themeColor="text1"/>
          <w:sz w:val="24"/>
          <w:szCs w:val="24"/>
        </w:rPr>
        <w:t xml:space="preserve"> Noninterest income was $67.4 billion in the first quarter, up $4.9 billion (7.9 percent) from first quarter 2017. The annual increase was led by higher trading revenue (up $1.1 billion, or 14.9 percent) and other noninterest income (up</w:t>
      </w:r>
      <w:r>
        <w:rPr>
          <w:rFonts w:ascii="Calibri" w:eastAsia="Calibri" w:hAnsi="Calibri" w:cs="Times New Roman"/>
          <w:bCs/>
          <w:color w:val="000000" w:themeColor="text1"/>
          <w:sz w:val="24"/>
          <w:szCs w:val="24"/>
        </w:rPr>
        <w:t xml:space="preserve"> $2.4 billion, or 8.8 percent).</w:t>
      </w:r>
    </w:p>
    <w:p w:rsidR="00987CF4" w:rsidRPr="00987CF4" w:rsidRDefault="00987CF4" w:rsidP="00987CF4">
      <w:pPr>
        <w:spacing w:before="120" w:after="120" w:line="259" w:lineRule="auto"/>
        <w:rPr>
          <w:rFonts w:ascii="Calibri" w:eastAsia="Calibri" w:hAnsi="Calibri" w:cs="Times New Roman"/>
          <w:bCs/>
          <w:color w:val="000000" w:themeColor="text1"/>
          <w:sz w:val="24"/>
          <w:szCs w:val="24"/>
        </w:rPr>
      </w:pPr>
      <w:r w:rsidRPr="001A1999">
        <w:rPr>
          <w:rFonts w:ascii="Calibri" w:eastAsia="Calibri" w:hAnsi="Calibri" w:cs="Times New Roman"/>
          <w:b/>
          <w:bCs/>
          <w:color w:val="000000" w:themeColor="text1"/>
          <w:sz w:val="24"/>
          <w:szCs w:val="24"/>
        </w:rPr>
        <w:t xml:space="preserve">Loan Balances Rise 4.9 Percent over 12 Months: </w:t>
      </w:r>
      <w:r w:rsidRPr="00987CF4">
        <w:rPr>
          <w:rFonts w:ascii="Calibri" w:eastAsia="Calibri" w:hAnsi="Calibri" w:cs="Times New Roman"/>
          <w:bCs/>
          <w:color w:val="000000" w:themeColor="text1"/>
          <w:sz w:val="24"/>
          <w:szCs w:val="24"/>
        </w:rPr>
        <w:t>Loan and lease balances increased by $31.3 billion (0.3 percent) from fourth quarter 2017. All major loan categories registered growth except for credit card balances (down $44.6 billion, or 5.2 percent), which showed a seasonal decline in the first quarter. Commercial and industrial loans grew by $38.6 billion (1.9 percent), nonfarm nonresidential loans rose by $11.5 billion (0.8 percent), and residential mortgage loans increased</w:t>
      </w:r>
      <w:r>
        <w:rPr>
          <w:rFonts w:ascii="Calibri" w:eastAsia="Calibri" w:hAnsi="Calibri" w:cs="Times New Roman"/>
          <w:bCs/>
          <w:color w:val="000000" w:themeColor="text1"/>
          <w:sz w:val="24"/>
          <w:szCs w:val="24"/>
        </w:rPr>
        <w:t xml:space="preserve"> by $8.8 billion (0.4 percent).</w:t>
      </w:r>
    </w:p>
    <w:p w:rsidR="00987CF4" w:rsidRPr="00987CF4" w:rsidRDefault="00987CF4" w:rsidP="00987CF4">
      <w:pPr>
        <w:spacing w:before="120" w:after="120" w:line="259" w:lineRule="auto"/>
        <w:rPr>
          <w:rFonts w:ascii="Calibri" w:eastAsia="Calibri" w:hAnsi="Calibri" w:cs="Times New Roman"/>
          <w:bCs/>
          <w:color w:val="000000" w:themeColor="text1"/>
          <w:sz w:val="24"/>
          <w:szCs w:val="24"/>
        </w:rPr>
      </w:pPr>
      <w:r w:rsidRPr="001A1999">
        <w:rPr>
          <w:rFonts w:ascii="Calibri" w:eastAsia="Calibri" w:hAnsi="Calibri" w:cs="Times New Roman"/>
          <w:b/>
          <w:bCs/>
          <w:color w:val="000000" w:themeColor="text1"/>
          <w:sz w:val="24"/>
          <w:szCs w:val="24"/>
        </w:rPr>
        <w:t xml:space="preserve">Noncurrent Loan Rate Declines Modestly, While Net Charge-Off Rate Remains Stable: </w:t>
      </w:r>
      <w:r w:rsidRPr="00987CF4">
        <w:rPr>
          <w:rFonts w:ascii="Calibri" w:eastAsia="Calibri" w:hAnsi="Calibri" w:cs="Times New Roman"/>
          <w:bCs/>
          <w:color w:val="000000" w:themeColor="text1"/>
          <w:sz w:val="24"/>
          <w:szCs w:val="24"/>
        </w:rPr>
        <w:t>The amount of loans that were noncurrent — 90 days or more past due or in nonaccrual status — declined by $3.9 billion (3.4 percent) during the first quarter. Noncurrent balances declined for residential mortgages (down $2.8 billion, or 4.9 percent), and commercial and industrial loans (down $617.2 million, or 3.4 percent). The average noncurrent loan rate declined to 1.15 percent from 1.20 percent in fourth quarter 2017. Net charge-offs increased by $540.6 million (4.7 percent) from a year ago, led by a $1.1 billion (16.3 percent) increase in net charge-offs for credit cards. The average net charge-off rate (0.50 percent) r</w:t>
      </w:r>
      <w:r>
        <w:rPr>
          <w:rFonts w:ascii="Calibri" w:eastAsia="Calibri" w:hAnsi="Calibri" w:cs="Times New Roman"/>
          <w:bCs/>
          <w:color w:val="000000" w:themeColor="text1"/>
          <w:sz w:val="24"/>
          <w:szCs w:val="24"/>
        </w:rPr>
        <w:t>emained stable from a year ago.</w:t>
      </w:r>
    </w:p>
    <w:p w:rsidR="00987CF4" w:rsidRPr="00987CF4" w:rsidRDefault="00987CF4" w:rsidP="00987CF4">
      <w:pPr>
        <w:spacing w:before="120" w:after="120" w:line="259" w:lineRule="auto"/>
        <w:rPr>
          <w:rFonts w:ascii="Calibri" w:eastAsia="Calibri" w:hAnsi="Calibri" w:cs="Times New Roman"/>
          <w:bCs/>
          <w:color w:val="000000" w:themeColor="text1"/>
          <w:sz w:val="24"/>
          <w:szCs w:val="24"/>
        </w:rPr>
      </w:pPr>
      <w:r w:rsidRPr="001A1999">
        <w:rPr>
          <w:rFonts w:ascii="Calibri" w:eastAsia="Calibri" w:hAnsi="Calibri" w:cs="Times New Roman"/>
          <w:b/>
          <w:bCs/>
          <w:color w:val="000000" w:themeColor="text1"/>
          <w:sz w:val="24"/>
          <w:szCs w:val="24"/>
        </w:rPr>
        <w:t>“Problem Bank List” Continues to Fall:</w:t>
      </w:r>
      <w:r w:rsidRPr="00987CF4">
        <w:rPr>
          <w:rFonts w:ascii="Calibri" w:eastAsia="Calibri" w:hAnsi="Calibri" w:cs="Times New Roman"/>
          <w:bCs/>
          <w:color w:val="000000" w:themeColor="text1"/>
          <w:sz w:val="24"/>
          <w:szCs w:val="24"/>
        </w:rPr>
        <w:t xml:space="preserve"> The FDIC’s Problem Bank List declined from 95 to 92 during the quarter, the lowest number of problem banks since first quarter 2008. Total assets of problem banks increased from $13.9 billion in the fourth quarter to $56.4 billion. During the quarter, merger transactions absorbed 65 institutions, three new charters were added, and t</w:t>
      </w:r>
      <w:r w:rsidR="001A1999">
        <w:rPr>
          <w:rFonts w:ascii="Calibri" w:eastAsia="Calibri" w:hAnsi="Calibri" w:cs="Times New Roman"/>
          <w:bCs/>
          <w:color w:val="000000" w:themeColor="text1"/>
          <w:sz w:val="24"/>
          <w:szCs w:val="24"/>
        </w:rPr>
        <w:t>here were no failures.</w:t>
      </w:r>
    </w:p>
    <w:p w:rsidR="001A1999" w:rsidRDefault="00987CF4" w:rsidP="00987CF4">
      <w:pPr>
        <w:spacing w:before="120" w:after="120" w:line="259" w:lineRule="auto"/>
        <w:rPr>
          <w:rFonts w:ascii="Calibri" w:eastAsia="Calibri" w:hAnsi="Calibri" w:cs="Times New Roman"/>
          <w:bCs/>
          <w:color w:val="000000" w:themeColor="text1"/>
          <w:sz w:val="24"/>
          <w:szCs w:val="24"/>
        </w:rPr>
      </w:pPr>
      <w:r w:rsidRPr="001A1999">
        <w:rPr>
          <w:rFonts w:ascii="Calibri" w:eastAsia="Calibri" w:hAnsi="Calibri" w:cs="Times New Roman"/>
          <w:b/>
          <w:bCs/>
          <w:color w:val="000000" w:themeColor="text1"/>
          <w:sz w:val="24"/>
          <w:szCs w:val="24"/>
        </w:rPr>
        <w:t xml:space="preserve">Deposit Insurance Fund’s Reserve Ratio Remains at 1.30 Percent: </w:t>
      </w:r>
      <w:r w:rsidRPr="00987CF4">
        <w:rPr>
          <w:rFonts w:ascii="Calibri" w:eastAsia="Calibri" w:hAnsi="Calibri" w:cs="Times New Roman"/>
          <w:bCs/>
          <w:color w:val="000000" w:themeColor="text1"/>
          <w:sz w:val="24"/>
          <w:szCs w:val="24"/>
        </w:rPr>
        <w:t>The Deposit Insurance Fund (DIF) balance rose by $2.3 billion during the first quarter to $95.1 billion on March 31, driven by assessment income. The DIF reserve ratio remained unchanged (1.30 percent) from the previous quarter. Estimated insured deposits increased by 2.6 percent from the previous quarter and 3.7 percent from a year ago.</w:t>
      </w:r>
    </w:p>
    <w:p w:rsidR="005A7FB7" w:rsidRDefault="005A7FB7" w:rsidP="00987CF4">
      <w:pPr>
        <w:spacing w:before="120" w:after="120" w:line="259" w:lineRule="auto"/>
        <w:rPr>
          <w:rFonts w:ascii="Calibri" w:eastAsia="Calibri" w:hAnsi="Calibri" w:cs="Times New Roman"/>
          <w:bCs/>
          <w:color w:val="000000"/>
          <w:sz w:val="24"/>
          <w:szCs w:val="24"/>
        </w:rPr>
      </w:pPr>
      <w:r w:rsidRPr="00482EAD">
        <w:rPr>
          <w:rFonts w:ascii="Calibri" w:eastAsia="Calibri" w:hAnsi="Calibri" w:cs="Times New Roman"/>
          <w:b/>
          <w:bCs/>
          <w:color w:val="000000"/>
          <w:sz w:val="24"/>
          <w:szCs w:val="24"/>
        </w:rPr>
        <w:t>Source</w:t>
      </w:r>
      <w:r w:rsidRPr="00CE05FF">
        <w:rPr>
          <w:rFonts w:ascii="Calibri" w:eastAsia="Calibri" w:hAnsi="Calibri" w:cs="Times New Roman"/>
          <w:bCs/>
          <w:color w:val="000000"/>
          <w:sz w:val="24"/>
          <w:szCs w:val="24"/>
        </w:rPr>
        <w:t xml:space="preserve"> </w:t>
      </w:r>
      <w:hyperlink r:id="rId16" w:history="1">
        <w:r w:rsidRPr="001A1999">
          <w:rPr>
            <w:rStyle w:val="Hyperlink"/>
            <w:rFonts w:ascii="Calibri" w:eastAsia="Calibri" w:hAnsi="Calibri"/>
            <w:sz w:val="24"/>
            <w:szCs w:val="24"/>
          </w:rPr>
          <w:t>link</w:t>
        </w:r>
      </w:hyperlink>
      <w:r w:rsidRPr="00CE05FF">
        <w:rPr>
          <w:rFonts w:ascii="Calibri" w:eastAsia="Calibri" w:hAnsi="Calibri" w:cs="Times New Roman"/>
          <w:bCs/>
          <w:color w:val="000000"/>
          <w:sz w:val="24"/>
          <w:szCs w:val="24"/>
        </w:rPr>
        <w:t xml:space="preserve">. </w:t>
      </w:r>
    </w:p>
    <w:p w:rsidR="00063F3D" w:rsidRDefault="005A7FB7" w:rsidP="00063F3D">
      <w:pPr>
        <w:spacing w:before="120" w:after="120" w:line="259" w:lineRule="auto"/>
        <w:rPr>
          <w:rFonts w:ascii="Calibri" w:eastAsia="Calibri" w:hAnsi="Calibri" w:cs="Times New Roman"/>
          <w:b/>
          <w:bCs/>
          <w:i/>
          <w:color w:val="000000"/>
          <w:sz w:val="24"/>
          <w:szCs w:val="24"/>
        </w:rPr>
      </w:pPr>
      <w:r w:rsidRPr="0034584A">
        <w:rPr>
          <w:rFonts w:ascii="Calibri" w:eastAsia="Calibri" w:hAnsi="Calibri" w:cs="Times New Roman"/>
          <w:b/>
          <w:bCs/>
          <w:i/>
          <w:color w:val="002060"/>
          <w:sz w:val="24"/>
          <w:szCs w:val="24"/>
        </w:rPr>
        <w:t xml:space="preserve">Comment: </w:t>
      </w:r>
      <w:r w:rsidR="00EF0403" w:rsidRPr="00EF0403">
        <w:rPr>
          <w:rFonts w:ascii="Calibri" w:eastAsia="Calibri" w:hAnsi="Calibri" w:cs="Times New Roman"/>
          <w:b/>
          <w:bCs/>
          <w:i/>
          <w:color w:val="002060"/>
          <w:sz w:val="24"/>
          <w:szCs w:val="24"/>
        </w:rPr>
        <w:t>Over 70 percent of U.S. banks reported growth in year-over-year earnings, as the industry enjoyed higher net operating revenue amid a significantly lower corporate tax rate, according to the regulator.</w:t>
      </w:r>
      <w:r w:rsidR="00EF0403">
        <w:rPr>
          <w:rFonts w:ascii="Calibri" w:eastAsia="Calibri" w:hAnsi="Calibri" w:cs="Times New Roman"/>
          <w:b/>
          <w:bCs/>
          <w:i/>
          <w:color w:val="002060"/>
          <w:sz w:val="24"/>
          <w:szCs w:val="24"/>
        </w:rPr>
        <w:t xml:space="preserve"> However, t</w:t>
      </w:r>
      <w:r w:rsidR="00EF0403" w:rsidRPr="00EF0403">
        <w:rPr>
          <w:rFonts w:ascii="Calibri" w:eastAsia="Calibri" w:hAnsi="Calibri" w:cs="Times New Roman"/>
          <w:b/>
          <w:bCs/>
          <w:i/>
          <w:color w:val="002060"/>
          <w:sz w:val="24"/>
          <w:szCs w:val="24"/>
        </w:rPr>
        <w:t>h</w:t>
      </w:r>
      <w:r w:rsidR="0013587B">
        <w:rPr>
          <w:rFonts w:ascii="Calibri" w:eastAsia="Calibri" w:hAnsi="Calibri" w:cs="Times New Roman"/>
          <w:b/>
          <w:bCs/>
          <w:i/>
          <w:color w:val="002060"/>
          <w:sz w:val="24"/>
          <w:szCs w:val="24"/>
        </w:rPr>
        <w:t xml:space="preserve">is report is a mixed blessing. </w:t>
      </w:r>
      <w:r w:rsidR="00EF0403" w:rsidRPr="00EF0403">
        <w:rPr>
          <w:rFonts w:ascii="Calibri" w:eastAsia="Calibri" w:hAnsi="Calibri" w:cs="Times New Roman"/>
          <w:b/>
          <w:bCs/>
          <w:i/>
          <w:color w:val="002060"/>
          <w:sz w:val="24"/>
          <w:szCs w:val="24"/>
        </w:rPr>
        <w:t>While it is great to observe these positive trends, it makes it harder to convince Congress that more regulatory relief is needed.</w:t>
      </w:r>
    </w:p>
    <w:p w:rsidR="00063F3D" w:rsidRPr="00436AD8" w:rsidRDefault="00063F3D" w:rsidP="00063F3D">
      <w:pPr>
        <w:pStyle w:val="CCTOCHeading"/>
        <w:spacing w:line="259" w:lineRule="auto"/>
        <w:rPr>
          <w:rFonts w:asciiTheme="minorHAnsi" w:hAnsiTheme="minorHAnsi" w:cstheme="minorHAnsi"/>
        </w:rPr>
      </w:pPr>
      <w:bookmarkStart w:id="22" w:name="_Toc517254833"/>
      <w:bookmarkStart w:id="23" w:name="_Hlk514920391"/>
      <w:r w:rsidRPr="00436AD8">
        <w:rPr>
          <w:rFonts w:asciiTheme="minorHAnsi" w:hAnsiTheme="minorHAnsi" w:cstheme="minorHAnsi"/>
        </w:rPr>
        <w:lastRenderedPageBreak/>
        <w:t>OCC actions</w:t>
      </w:r>
      <w:bookmarkStart w:id="24" w:name="_Hlk484674731"/>
      <w:bookmarkStart w:id="25" w:name="_Toc409519096"/>
      <w:bookmarkEnd w:id="20"/>
      <w:bookmarkEnd w:id="21"/>
      <w:r w:rsidRPr="006E7501">
        <w:rPr>
          <w:rFonts w:asciiTheme="minorHAnsi" w:eastAsiaTheme="minorHAnsi" w:hAnsiTheme="minorHAnsi" w:cstheme="minorHAnsi"/>
          <w:b w:val="0"/>
          <w:color w:val="auto"/>
          <w:sz w:val="22"/>
          <w:szCs w:val="22"/>
        </w:rPr>
        <w:t xml:space="preserve"> </w:t>
      </w:r>
      <w:r w:rsidRPr="006E7501">
        <w:rPr>
          <w:rFonts w:asciiTheme="minorHAnsi" w:hAnsiTheme="minorHAnsi" w:cstheme="minorHAnsi"/>
        </w:rPr>
        <w:t>and news</w:t>
      </w:r>
      <w:bookmarkEnd w:id="22"/>
    </w:p>
    <w:p w:rsidR="002B4657" w:rsidRPr="002B4657" w:rsidRDefault="002B4657" w:rsidP="002B4657">
      <w:pPr>
        <w:spacing w:before="120" w:after="120" w:line="259" w:lineRule="auto"/>
        <w:rPr>
          <w:rFonts w:ascii="Calibri" w:eastAsia="Calibri" w:hAnsi="Calibri" w:cs="Times New Roman"/>
          <w:b/>
          <w:bCs/>
          <w:i/>
          <w:color w:val="000000" w:themeColor="text1"/>
          <w:sz w:val="24"/>
          <w:szCs w:val="24"/>
        </w:rPr>
      </w:pPr>
      <w:bookmarkStart w:id="26" w:name="_Hlk508803472"/>
      <w:bookmarkStart w:id="27" w:name="_Toc409519097"/>
      <w:bookmarkStart w:id="28" w:name="_Toc504138796"/>
      <w:bookmarkStart w:id="29" w:name="_Hlk495582916"/>
      <w:bookmarkEnd w:id="23"/>
      <w:bookmarkEnd w:id="24"/>
      <w:bookmarkEnd w:id="25"/>
      <w:r w:rsidRPr="002B4657">
        <w:rPr>
          <w:rFonts w:ascii="Calibri" w:eastAsia="Calibri" w:hAnsi="Calibri" w:cs="Times New Roman"/>
          <w:b/>
          <w:bCs/>
          <w:i/>
          <w:color w:val="000000" w:themeColor="text1"/>
          <w:sz w:val="24"/>
          <w:szCs w:val="24"/>
        </w:rPr>
        <w:t>OCC Reports Mortgage Performance Unchanged (06.0</w:t>
      </w:r>
      <w:r>
        <w:rPr>
          <w:rFonts w:ascii="Calibri" w:eastAsia="Calibri" w:hAnsi="Calibri" w:cs="Times New Roman"/>
          <w:b/>
          <w:bCs/>
          <w:i/>
          <w:color w:val="000000" w:themeColor="text1"/>
          <w:sz w:val="24"/>
          <w:szCs w:val="24"/>
        </w:rPr>
        <w:t>19</w:t>
      </w:r>
      <w:r w:rsidRPr="002B4657">
        <w:rPr>
          <w:rFonts w:ascii="Calibri" w:eastAsia="Calibri" w:hAnsi="Calibri" w:cs="Times New Roman"/>
          <w:b/>
          <w:bCs/>
          <w:i/>
          <w:color w:val="000000" w:themeColor="text1"/>
          <w:sz w:val="24"/>
          <w:szCs w:val="24"/>
        </w:rPr>
        <w:t>.2018)</w:t>
      </w:r>
    </w:p>
    <w:p w:rsidR="002B4657" w:rsidRPr="002B4657" w:rsidRDefault="002B4657" w:rsidP="002B4657">
      <w:pPr>
        <w:spacing w:before="120" w:after="120" w:line="259" w:lineRule="auto"/>
        <w:rPr>
          <w:rFonts w:ascii="Calibri" w:eastAsia="Calibri" w:hAnsi="Calibri" w:cs="Times New Roman"/>
          <w:bCs/>
          <w:color w:val="000000" w:themeColor="text1"/>
          <w:sz w:val="24"/>
          <w:szCs w:val="24"/>
        </w:rPr>
      </w:pPr>
      <w:r w:rsidRPr="002B4657">
        <w:rPr>
          <w:rFonts w:ascii="Calibri" w:eastAsia="Calibri" w:hAnsi="Calibri" w:cs="Times New Roman"/>
          <w:bCs/>
          <w:color w:val="000000" w:themeColor="text1"/>
          <w:sz w:val="24"/>
          <w:szCs w:val="24"/>
        </w:rPr>
        <w:t>WASHINGTON—Performance of first-lien mortgages remained unchanged during the first quarter of 2018 compared with a year earlier, according to the Office of the Comptroller of the Currency’s (OCC) quarterly report on mortgages.</w:t>
      </w:r>
    </w:p>
    <w:p w:rsidR="002B4657" w:rsidRPr="002B4657" w:rsidRDefault="002B4657" w:rsidP="002B4657">
      <w:pPr>
        <w:spacing w:before="120" w:after="120" w:line="259" w:lineRule="auto"/>
        <w:rPr>
          <w:rFonts w:ascii="Calibri" w:eastAsia="Calibri" w:hAnsi="Calibri" w:cs="Times New Roman"/>
          <w:bCs/>
          <w:color w:val="000000" w:themeColor="text1"/>
          <w:sz w:val="24"/>
          <w:szCs w:val="24"/>
        </w:rPr>
      </w:pPr>
      <w:r w:rsidRPr="002B4657">
        <w:rPr>
          <w:rFonts w:ascii="Calibri" w:eastAsia="Calibri" w:hAnsi="Calibri" w:cs="Times New Roman"/>
          <w:bCs/>
          <w:color w:val="000000" w:themeColor="text1"/>
          <w:sz w:val="24"/>
          <w:szCs w:val="24"/>
        </w:rPr>
        <w:t>The OCC Mortgage Metrics Report, First Quarter 2018, showed 95.6 percent of mortgages included in the report were current and performing at the end of the quarter, the same as a year earlier.</w:t>
      </w:r>
    </w:p>
    <w:p w:rsidR="002B4657" w:rsidRPr="002B4657" w:rsidRDefault="002B4657" w:rsidP="002B4657">
      <w:pPr>
        <w:spacing w:before="120" w:after="120" w:line="259" w:lineRule="auto"/>
        <w:rPr>
          <w:rFonts w:ascii="Calibri" w:eastAsia="Calibri" w:hAnsi="Calibri" w:cs="Times New Roman"/>
          <w:bCs/>
          <w:color w:val="000000" w:themeColor="text1"/>
          <w:sz w:val="24"/>
          <w:szCs w:val="24"/>
        </w:rPr>
      </w:pPr>
      <w:r w:rsidRPr="002B4657">
        <w:rPr>
          <w:rFonts w:ascii="Calibri" w:eastAsia="Calibri" w:hAnsi="Calibri" w:cs="Times New Roman"/>
          <w:bCs/>
          <w:color w:val="000000" w:themeColor="text1"/>
          <w:sz w:val="24"/>
          <w:szCs w:val="24"/>
        </w:rPr>
        <w:t>The report also showed that servicers initiated 37,300 new foreclosures during the first quarter of 2018, an 8.1 percent increase from the previous quarter and a 21.5 percent decrease from a year ago. Servicers implemented 23,427 mortgage modifications in the first quarter of 2018, and 78.5 percent of the modifications reduced borrowers’ monthly payments.</w:t>
      </w:r>
    </w:p>
    <w:p w:rsidR="002B4657" w:rsidRPr="002B4657" w:rsidRDefault="002B4657" w:rsidP="002B4657">
      <w:pPr>
        <w:spacing w:before="120" w:after="120" w:line="259" w:lineRule="auto"/>
        <w:rPr>
          <w:rFonts w:ascii="Calibri" w:eastAsia="Calibri" w:hAnsi="Calibri" w:cs="Times New Roman"/>
          <w:bCs/>
          <w:color w:val="000000" w:themeColor="text1"/>
          <w:sz w:val="24"/>
          <w:szCs w:val="24"/>
        </w:rPr>
      </w:pPr>
      <w:r w:rsidRPr="002B4657">
        <w:rPr>
          <w:rFonts w:ascii="Calibri" w:eastAsia="Calibri" w:hAnsi="Calibri" w:cs="Times New Roman"/>
          <w:bCs/>
          <w:color w:val="000000" w:themeColor="text1"/>
          <w:sz w:val="24"/>
          <w:szCs w:val="24"/>
        </w:rPr>
        <w:t>The first-lien mortgages included in the OCC’s quarterly report comprise 33 percent of all residential mortgages outstanding in the United States or approximately 17.8 million loans totaling $3.30 trillion in principal balances. This report provides information on mortgage performance through March 31, 2018, and it can be downloaded from the OCC’s website, www.occ.gov.</w:t>
      </w:r>
    </w:p>
    <w:p w:rsidR="002B4657" w:rsidRPr="002B4657" w:rsidRDefault="002B4657" w:rsidP="002B4657">
      <w:pPr>
        <w:spacing w:before="120" w:after="120" w:line="259" w:lineRule="auto"/>
        <w:rPr>
          <w:rFonts w:ascii="Calibri" w:eastAsia="Calibri" w:hAnsi="Calibri" w:cs="Times New Roman"/>
          <w:bCs/>
          <w:color w:val="000000"/>
          <w:sz w:val="24"/>
          <w:szCs w:val="24"/>
        </w:rPr>
      </w:pPr>
      <w:r w:rsidRPr="002B4657">
        <w:rPr>
          <w:rFonts w:ascii="Calibri" w:eastAsia="Calibri" w:hAnsi="Calibri" w:cs="Times New Roman"/>
          <w:b/>
          <w:bCs/>
          <w:color w:val="000000"/>
          <w:sz w:val="24"/>
          <w:szCs w:val="24"/>
        </w:rPr>
        <w:t>Source</w:t>
      </w:r>
      <w:r w:rsidRPr="002B4657">
        <w:rPr>
          <w:rFonts w:ascii="Calibri" w:eastAsia="Calibri" w:hAnsi="Calibri" w:cs="Times New Roman"/>
          <w:bCs/>
          <w:color w:val="000000"/>
          <w:sz w:val="24"/>
          <w:szCs w:val="24"/>
        </w:rPr>
        <w:t xml:space="preserve"> </w:t>
      </w:r>
      <w:hyperlink r:id="rId17" w:history="1">
        <w:r w:rsidRPr="002B4657">
          <w:rPr>
            <w:rStyle w:val="Hyperlink"/>
            <w:rFonts w:ascii="Calibri" w:eastAsia="Calibri" w:hAnsi="Calibri"/>
            <w:sz w:val="24"/>
            <w:szCs w:val="24"/>
          </w:rPr>
          <w:t>link</w:t>
        </w:r>
      </w:hyperlink>
      <w:r w:rsidRPr="002B4657">
        <w:rPr>
          <w:rFonts w:ascii="Calibri" w:eastAsia="Calibri" w:hAnsi="Calibri" w:cs="Times New Roman"/>
          <w:bCs/>
          <w:color w:val="000000"/>
          <w:sz w:val="24"/>
          <w:szCs w:val="24"/>
        </w:rPr>
        <w:t xml:space="preserve">. </w:t>
      </w:r>
    </w:p>
    <w:p w:rsidR="002B4657" w:rsidRDefault="002B4657" w:rsidP="002B4657">
      <w:pPr>
        <w:spacing w:before="120" w:after="120" w:line="259" w:lineRule="auto"/>
        <w:rPr>
          <w:rFonts w:ascii="Calibri" w:eastAsia="Calibri" w:hAnsi="Calibri" w:cs="Times New Roman"/>
          <w:b/>
          <w:bCs/>
          <w:i/>
          <w:color w:val="002060"/>
          <w:sz w:val="24"/>
          <w:szCs w:val="24"/>
        </w:rPr>
      </w:pPr>
      <w:r w:rsidRPr="002B4657">
        <w:rPr>
          <w:rFonts w:ascii="Calibri" w:eastAsia="Calibri" w:hAnsi="Calibri" w:cs="Times New Roman"/>
          <w:b/>
          <w:bCs/>
          <w:i/>
          <w:color w:val="002060"/>
          <w:sz w:val="24"/>
          <w:szCs w:val="24"/>
        </w:rPr>
        <w:t xml:space="preserve">Comment: </w:t>
      </w:r>
      <w:r w:rsidR="0013587B" w:rsidRPr="0013587B">
        <w:rPr>
          <w:rFonts w:ascii="Calibri" w:eastAsia="Calibri" w:hAnsi="Calibri" w:cs="Times New Roman"/>
          <w:b/>
          <w:bCs/>
          <w:i/>
          <w:color w:val="002060"/>
          <w:sz w:val="24"/>
          <w:szCs w:val="24"/>
        </w:rPr>
        <w:t>Mortgages that were considered seriously delinquent were at 2 percent in the first quarter</w:t>
      </w:r>
      <w:r w:rsidR="0013587B">
        <w:rPr>
          <w:rFonts w:ascii="Calibri" w:eastAsia="Calibri" w:hAnsi="Calibri" w:cs="Times New Roman"/>
          <w:b/>
          <w:bCs/>
          <w:i/>
          <w:color w:val="002060"/>
          <w:sz w:val="24"/>
          <w:szCs w:val="24"/>
        </w:rPr>
        <w:t xml:space="preserve"> of 2018</w:t>
      </w:r>
      <w:r w:rsidR="0013587B" w:rsidRPr="0013587B">
        <w:rPr>
          <w:rFonts w:ascii="Calibri" w:eastAsia="Calibri" w:hAnsi="Calibri" w:cs="Times New Roman"/>
          <w:b/>
          <w:bCs/>
          <w:i/>
          <w:color w:val="002060"/>
          <w:sz w:val="24"/>
          <w:szCs w:val="24"/>
        </w:rPr>
        <w:t>, down from 2.4 percent in the fourth quarter</w:t>
      </w:r>
      <w:r w:rsidR="0013587B">
        <w:rPr>
          <w:rFonts w:ascii="Calibri" w:eastAsia="Calibri" w:hAnsi="Calibri" w:cs="Times New Roman"/>
          <w:b/>
          <w:bCs/>
          <w:i/>
          <w:color w:val="002060"/>
          <w:sz w:val="24"/>
          <w:szCs w:val="24"/>
        </w:rPr>
        <w:t xml:space="preserve"> of 2017</w:t>
      </w:r>
      <w:r w:rsidR="0013587B" w:rsidRPr="0013587B">
        <w:rPr>
          <w:rFonts w:ascii="Calibri" w:eastAsia="Calibri" w:hAnsi="Calibri" w:cs="Times New Roman"/>
          <w:b/>
          <w:bCs/>
          <w:i/>
          <w:color w:val="002060"/>
          <w:sz w:val="24"/>
          <w:szCs w:val="24"/>
        </w:rPr>
        <w:t>. Loans that were 30 to 59 days delinquent fell to 1.9 percent from 2.5 percent in the previous quarter.</w:t>
      </w:r>
    </w:p>
    <w:p w:rsidR="002B4657" w:rsidRDefault="002B4657" w:rsidP="008A3545">
      <w:pPr>
        <w:spacing w:before="120" w:after="120" w:line="259" w:lineRule="auto"/>
        <w:rPr>
          <w:rFonts w:ascii="Calibri" w:eastAsia="Calibri" w:hAnsi="Calibri" w:cs="Times New Roman"/>
          <w:b/>
          <w:bCs/>
          <w:i/>
          <w:color w:val="000000" w:themeColor="text1"/>
          <w:sz w:val="24"/>
          <w:szCs w:val="24"/>
        </w:rPr>
      </w:pPr>
    </w:p>
    <w:p w:rsidR="008A3545" w:rsidRPr="00CE05FF" w:rsidRDefault="008A3545" w:rsidP="008A3545">
      <w:pPr>
        <w:spacing w:before="120" w:after="120" w:line="259" w:lineRule="auto"/>
        <w:rPr>
          <w:rFonts w:ascii="Calibri" w:eastAsia="Calibri" w:hAnsi="Calibri" w:cs="Times New Roman"/>
          <w:b/>
          <w:bCs/>
          <w:i/>
          <w:color w:val="000000" w:themeColor="text1"/>
          <w:sz w:val="24"/>
          <w:szCs w:val="24"/>
        </w:rPr>
      </w:pPr>
      <w:r w:rsidRPr="008A3545">
        <w:rPr>
          <w:rFonts w:ascii="Calibri" w:eastAsia="Calibri" w:hAnsi="Calibri" w:cs="Times New Roman"/>
          <w:b/>
          <w:bCs/>
          <w:i/>
          <w:color w:val="000000" w:themeColor="text1"/>
          <w:sz w:val="24"/>
          <w:szCs w:val="24"/>
        </w:rPr>
        <w:t>Supervisory Policy and Processes for Community Reinvestment Act Performance Evaluations</w:t>
      </w:r>
      <w:r>
        <w:rPr>
          <w:rFonts w:ascii="Calibri" w:eastAsia="Calibri" w:hAnsi="Calibri" w:cs="Times New Roman"/>
          <w:b/>
          <w:bCs/>
          <w:i/>
          <w:color w:val="000000" w:themeColor="text1"/>
          <w:sz w:val="24"/>
          <w:szCs w:val="24"/>
        </w:rPr>
        <w:t xml:space="preserve"> (06.15.2018)</w:t>
      </w:r>
    </w:p>
    <w:p w:rsidR="008A3545" w:rsidRPr="008A3545" w:rsidRDefault="008A3545" w:rsidP="008A3545">
      <w:pPr>
        <w:spacing w:before="120" w:after="120" w:line="259" w:lineRule="auto"/>
        <w:rPr>
          <w:rFonts w:ascii="Calibri" w:eastAsia="Calibri" w:hAnsi="Calibri" w:cs="Times New Roman"/>
          <w:bCs/>
          <w:color w:val="000000" w:themeColor="text1"/>
          <w:sz w:val="24"/>
          <w:szCs w:val="24"/>
        </w:rPr>
      </w:pPr>
      <w:r w:rsidRPr="008A3545">
        <w:rPr>
          <w:rFonts w:ascii="Calibri" w:eastAsia="Calibri" w:hAnsi="Calibri" w:cs="Times New Roman"/>
          <w:bCs/>
          <w:color w:val="000000" w:themeColor="text1"/>
          <w:sz w:val="24"/>
          <w:szCs w:val="24"/>
        </w:rPr>
        <w:t>The Office of the Comptroller of the Currency (OCC) is fully committed to an effort to modernize the Community Reinvestment Act (CRA). While modernization efforts are proceeding, the OCC is issuing this bulletin to inform national banks, federal savings associations, and federal branches and agencies (collectively, banks) about clarifications to OCC supervisory policies and processes regarding how examiners evaluate and communicate bank performance under the CRA. The OCC has clarified and simplified these policies and processes to promote the consistency and effectiveness of CRA performance evaluations. These supervisory policies and processes apply to each bank CRA evaluation.</w:t>
      </w:r>
    </w:p>
    <w:p w:rsidR="008A3545" w:rsidRPr="008A3545" w:rsidRDefault="008A3545" w:rsidP="008A3545">
      <w:pPr>
        <w:spacing w:before="120" w:after="120" w:line="259" w:lineRule="auto"/>
        <w:rPr>
          <w:rFonts w:ascii="Calibri" w:eastAsia="Calibri" w:hAnsi="Calibri" w:cs="Times New Roman"/>
          <w:b/>
          <w:bCs/>
          <w:color w:val="000000" w:themeColor="text1"/>
          <w:sz w:val="24"/>
          <w:szCs w:val="24"/>
        </w:rPr>
      </w:pPr>
      <w:r w:rsidRPr="008A3545">
        <w:rPr>
          <w:rFonts w:ascii="Calibri" w:eastAsia="Calibri" w:hAnsi="Calibri" w:cs="Times New Roman"/>
          <w:b/>
          <w:bCs/>
          <w:color w:val="000000" w:themeColor="text1"/>
          <w:sz w:val="24"/>
          <w:szCs w:val="24"/>
        </w:rPr>
        <w:t>Highlights</w:t>
      </w:r>
    </w:p>
    <w:p w:rsidR="008A3545" w:rsidRPr="008A3545" w:rsidRDefault="008A3545" w:rsidP="008A3545">
      <w:pPr>
        <w:spacing w:before="120" w:after="120" w:line="259" w:lineRule="auto"/>
        <w:rPr>
          <w:rFonts w:ascii="Calibri" w:eastAsia="Calibri" w:hAnsi="Calibri" w:cs="Times New Roman"/>
          <w:bCs/>
          <w:color w:val="000000" w:themeColor="text1"/>
          <w:sz w:val="24"/>
          <w:szCs w:val="24"/>
        </w:rPr>
      </w:pPr>
      <w:r w:rsidRPr="008A3545">
        <w:rPr>
          <w:rFonts w:ascii="Calibri" w:eastAsia="Calibri" w:hAnsi="Calibri" w:cs="Times New Roman"/>
          <w:bCs/>
          <w:color w:val="000000" w:themeColor="text1"/>
          <w:sz w:val="24"/>
          <w:szCs w:val="24"/>
        </w:rPr>
        <w:t>The CRA supervisory policy addresses the following areas for all CRA evaluations. These policy clarifications, which are effective immediately, address</w:t>
      </w:r>
    </w:p>
    <w:p w:rsidR="008A3545" w:rsidRPr="00C71A01" w:rsidRDefault="008A3545" w:rsidP="00C71A01">
      <w:pPr>
        <w:pStyle w:val="ListParagraph"/>
        <w:numPr>
          <w:ilvl w:val="0"/>
          <w:numId w:val="34"/>
        </w:numPr>
        <w:spacing w:before="120" w:after="120" w:line="259" w:lineRule="auto"/>
        <w:rPr>
          <w:rFonts w:ascii="Calibri" w:eastAsia="Calibri" w:hAnsi="Calibri"/>
          <w:bCs/>
          <w:color w:val="000000" w:themeColor="text1"/>
        </w:rPr>
      </w:pPr>
      <w:r w:rsidRPr="00C71A01">
        <w:rPr>
          <w:rFonts w:ascii="Calibri" w:eastAsia="Calibri" w:hAnsi="Calibri"/>
          <w:bCs/>
          <w:color w:val="000000" w:themeColor="text1"/>
        </w:rPr>
        <w:t>implementation of full-scope and limited-scope reviews;</w:t>
      </w:r>
    </w:p>
    <w:p w:rsidR="008A3545" w:rsidRPr="00C71A01" w:rsidRDefault="008A3545" w:rsidP="00C71A01">
      <w:pPr>
        <w:pStyle w:val="ListParagraph"/>
        <w:numPr>
          <w:ilvl w:val="0"/>
          <w:numId w:val="34"/>
        </w:numPr>
        <w:spacing w:before="120" w:after="120" w:line="259" w:lineRule="auto"/>
        <w:rPr>
          <w:rFonts w:ascii="Calibri" w:eastAsia="Calibri" w:hAnsi="Calibri"/>
          <w:bCs/>
          <w:color w:val="000000" w:themeColor="text1"/>
        </w:rPr>
      </w:pPr>
      <w:r w:rsidRPr="00C71A01">
        <w:rPr>
          <w:rFonts w:ascii="Calibri" w:eastAsia="Calibri" w:hAnsi="Calibri"/>
          <w:bCs/>
          <w:color w:val="000000" w:themeColor="text1"/>
        </w:rPr>
        <w:t>consideration of activities that promote economic development;</w:t>
      </w:r>
    </w:p>
    <w:p w:rsidR="008A3545" w:rsidRPr="00C71A01" w:rsidRDefault="008A3545" w:rsidP="00C71A01">
      <w:pPr>
        <w:pStyle w:val="ListParagraph"/>
        <w:numPr>
          <w:ilvl w:val="0"/>
          <w:numId w:val="34"/>
        </w:numPr>
        <w:spacing w:before="120" w:after="120" w:line="259" w:lineRule="auto"/>
        <w:rPr>
          <w:rFonts w:ascii="Calibri" w:eastAsia="Calibri" w:hAnsi="Calibri"/>
          <w:bCs/>
          <w:color w:val="000000" w:themeColor="text1"/>
        </w:rPr>
      </w:pPr>
      <w:r w:rsidRPr="00C71A01">
        <w:rPr>
          <w:rFonts w:ascii="Calibri" w:eastAsia="Calibri" w:hAnsi="Calibri"/>
          <w:bCs/>
          <w:color w:val="000000" w:themeColor="text1"/>
        </w:rPr>
        <w:t>use of demographic, aggregate, and market share data;</w:t>
      </w:r>
    </w:p>
    <w:p w:rsidR="008A3545" w:rsidRPr="00C71A01" w:rsidRDefault="008A3545" w:rsidP="00C71A01">
      <w:pPr>
        <w:pStyle w:val="ListParagraph"/>
        <w:numPr>
          <w:ilvl w:val="0"/>
          <w:numId w:val="34"/>
        </w:numPr>
        <w:spacing w:before="120" w:after="120" w:line="259" w:lineRule="auto"/>
        <w:rPr>
          <w:rFonts w:ascii="Calibri" w:eastAsia="Calibri" w:hAnsi="Calibri"/>
          <w:bCs/>
          <w:color w:val="000000" w:themeColor="text1"/>
        </w:rPr>
      </w:pPr>
      <w:r w:rsidRPr="00C71A01">
        <w:rPr>
          <w:rFonts w:ascii="Calibri" w:eastAsia="Calibri" w:hAnsi="Calibri"/>
          <w:bCs/>
          <w:color w:val="000000" w:themeColor="text1"/>
        </w:rPr>
        <w:t>evaluation of the borrower distribution of loans outside bank assessment areas (AA);</w:t>
      </w:r>
    </w:p>
    <w:p w:rsidR="008A3545" w:rsidRPr="00C71A01" w:rsidRDefault="008A3545" w:rsidP="00C71A01">
      <w:pPr>
        <w:pStyle w:val="ListParagraph"/>
        <w:numPr>
          <w:ilvl w:val="0"/>
          <w:numId w:val="34"/>
        </w:numPr>
        <w:spacing w:before="120" w:after="120" w:line="259" w:lineRule="auto"/>
        <w:rPr>
          <w:rFonts w:ascii="Calibri" w:eastAsia="Calibri" w:hAnsi="Calibri"/>
          <w:bCs/>
          <w:color w:val="000000" w:themeColor="text1"/>
        </w:rPr>
      </w:pPr>
      <w:r w:rsidRPr="00C71A01">
        <w:rPr>
          <w:rFonts w:ascii="Calibri" w:eastAsia="Calibri" w:hAnsi="Calibri"/>
          <w:bCs/>
          <w:color w:val="000000" w:themeColor="text1"/>
        </w:rPr>
        <w:t>evaluation frequency and timing;</w:t>
      </w:r>
    </w:p>
    <w:p w:rsidR="008A3545" w:rsidRPr="00C71A01" w:rsidRDefault="008A3545" w:rsidP="00C71A01">
      <w:pPr>
        <w:pStyle w:val="ListParagraph"/>
        <w:numPr>
          <w:ilvl w:val="0"/>
          <w:numId w:val="34"/>
        </w:numPr>
        <w:spacing w:before="120" w:after="120" w:line="259" w:lineRule="auto"/>
        <w:rPr>
          <w:rFonts w:ascii="Calibri" w:eastAsia="Calibri" w:hAnsi="Calibri"/>
          <w:bCs/>
          <w:color w:val="000000" w:themeColor="text1"/>
        </w:rPr>
      </w:pPr>
      <w:r w:rsidRPr="00C71A01">
        <w:rPr>
          <w:rFonts w:ascii="Calibri" w:eastAsia="Calibri" w:hAnsi="Calibri"/>
          <w:bCs/>
          <w:color w:val="000000" w:themeColor="text1"/>
        </w:rPr>
        <w:t>the CRA performance evaluation period; and</w:t>
      </w:r>
    </w:p>
    <w:p w:rsidR="008A3545" w:rsidRPr="00C71A01" w:rsidRDefault="008A3545" w:rsidP="00C71A01">
      <w:pPr>
        <w:pStyle w:val="ListParagraph"/>
        <w:numPr>
          <w:ilvl w:val="0"/>
          <w:numId w:val="34"/>
        </w:numPr>
        <w:spacing w:before="120" w:after="120" w:line="259" w:lineRule="auto"/>
        <w:rPr>
          <w:rFonts w:ascii="Calibri" w:eastAsia="Calibri" w:hAnsi="Calibri"/>
          <w:bCs/>
          <w:color w:val="000000" w:themeColor="text1"/>
        </w:rPr>
      </w:pPr>
      <w:r w:rsidRPr="00C71A01">
        <w:rPr>
          <w:rFonts w:ascii="Calibri" w:eastAsia="Calibri" w:hAnsi="Calibri"/>
          <w:bCs/>
          <w:color w:val="000000" w:themeColor="text1"/>
        </w:rPr>
        <w:t>evaluation of home mortgage loans.</w:t>
      </w:r>
    </w:p>
    <w:p w:rsidR="008A3545" w:rsidRDefault="008A3545" w:rsidP="008A3545">
      <w:pPr>
        <w:spacing w:before="120" w:after="120" w:line="259" w:lineRule="auto"/>
        <w:rPr>
          <w:rFonts w:ascii="Calibri" w:eastAsia="Calibri" w:hAnsi="Calibri" w:cs="Times New Roman"/>
          <w:bCs/>
          <w:color w:val="000000"/>
          <w:sz w:val="24"/>
          <w:szCs w:val="24"/>
        </w:rPr>
      </w:pPr>
      <w:r w:rsidRPr="00482EAD">
        <w:rPr>
          <w:rFonts w:ascii="Calibri" w:eastAsia="Calibri" w:hAnsi="Calibri" w:cs="Times New Roman"/>
          <w:b/>
          <w:bCs/>
          <w:color w:val="000000"/>
          <w:sz w:val="24"/>
          <w:szCs w:val="24"/>
        </w:rPr>
        <w:lastRenderedPageBreak/>
        <w:t>Source</w:t>
      </w:r>
      <w:r w:rsidRPr="00CE05FF">
        <w:rPr>
          <w:rFonts w:ascii="Calibri" w:eastAsia="Calibri" w:hAnsi="Calibri" w:cs="Times New Roman"/>
          <w:bCs/>
          <w:color w:val="000000"/>
          <w:sz w:val="24"/>
          <w:szCs w:val="24"/>
        </w:rPr>
        <w:t xml:space="preserve"> </w:t>
      </w:r>
      <w:hyperlink r:id="rId18" w:history="1">
        <w:r w:rsidRPr="008A3545">
          <w:rPr>
            <w:rStyle w:val="Hyperlink"/>
            <w:rFonts w:ascii="Calibri" w:eastAsia="Calibri" w:hAnsi="Calibri"/>
            <w:sz w:val="24"/>
            <w:szCs w:val="24"/>
          </w:rPr>
          <w:t>link</w:t>
        </w:r>
      </w:hyperlink>
      <w:r w:rsidRPr="00CE05FF">
        <w:rPr>
          <w:rFonts w:ascii="Calibri" w:eastAsia="Calibri" w:hAnsi="Calibri" w:cs="Times New Roman"/>
          <w:bCs/>
          <w:color w:val="000000"/>
          <w:sz w:val="24"/>
          <w:szCs w:val="24"/>
        </w:rPr>
        <w:t xml:space="preserve">. </w:t>
      </w:r>
    </w:p>
    <w:p w:rsidR="008A3545" w:rsidRPr="00482EAD" w:rsidRDefault="008A3545" w:rsidP="008A3545">
      <w:pPr>
        <w:spacing w:before="120" w:after="120" w:line="259" w:lineRule="auto"/>
        <w:rPr>
          <w:rFonts w:ascii="Calibri" w:eastAsia="Calibri" w:hAnsi="Calibri" w:cs="Times New Roman"/>
          <w:b/>
          <w:bCs/>
          <w:i/>
          <w:color w:val="000000"/>
          <w:sz w:val="24"/>
          <w:szCs w:val="24"/>
        </w:rPr>
      </w:pPr>
      <w:r w:rsidRPr="0034584A">
        <w:rPr>
          <w:rFonts w:ascii="Calibri" w:eastAsia="Calibri" w:hAnsi="Calibri" w:cs="Times New Roman"/>
          <w:b/>
          <w:bCs/>
          <w:i/>
          <w:color w:val="002060"/>
          <w:sz w:val="24"/>
          <w:szCs w:val="24"/>
        </w:rPr>
        <w:t xml:space="preserve">Comment: </w:t>
      </w:r>
      <w:r w:rsidR="000D5EDC">
        <w:rPr>
          <w:rFonts w:ascii="Calibri" w:eastAsia="Calibri" w:hAnsi="Calibri" w:cs="Times New Roman"/>
          <w:b/>
          <w:bCs/>
          <w:i/>
          <w:color w:val="002060"/>
          <w:sz w:val="24"/>
          <w:szCs w:val="24"/>
        </w:rPr>
        <w:t>Legislative and joint regulatory action are still important concerns.</w:t>
      </w:r>
      <w:r w:rsidR="00F06840" w:rsidRPr="00F06840">
        <w:t xml:space="preserve"> </w:t>
      </w:r>
      <w:r w:rsidR="00755341">
        <w:rPr>
          <w:rFonts w:ascii="Calibri" w:eastAsia="Calibri" w:hAnsi="Calibri" w:cs="Times New Roman"/>
          <w:b/>
          <w:bCs/>
          <w:i/>
          <w:color w:val="002060"/>
          <w:sz w:val="24"/>
          <w:szCs w:val="24"/>
        </w:rPr>
        <w:t>The prudential regulators have hinted at a notice of proposed rule-making and request</w:t>
      </w:r>
      <w:r w:rsidR="00F06840" w:rsidRPr="00F06840">
        <w:rPr>
          <w:rFonts w:ascii="Calibri" w:eastAsia="Calibri" w:hAnsi="Calibri" w:cs="Times New Roman"/>
          <w:b/>
          <w:bCs/>
          <w:i/>
          <w:color w:val="002060"/>
          <w:sz w:val="24"/>
          <w:szCs w:val="24"/>
        </w:rPr>
        <w:t xml:space="preserve"> for comments on CRA rules addressing</w:t>
      </w:r>
      <w:r w:rsidR="00755341">
        <w:rPr>
          <w:rFonts w:ascii="Calibri" w:eastAsia="Calibri" w:hAnsi="Calibri" w:cs="Times New Roman"/>
          <w:b/>
          <w:bCs/>
          <w:i/>
          <w:color w:val="002060"/>
          <w:sz w:val="24"/>
          <w:szCs w:val="24"/>
        </w:rPr>
        <w:t xml:space="preserve"> </w:t>
      </w:r>
      <w:r w:rsidR="00F06840" w:rsidRPr="00F06840">
        <w:rPr>
          <w:rFonts w:ascii="Calibri" w:eastAsia="Calibri" w:hAnsi="Calibri" w:cs="Times New Roman"/>
          <w:b/>
          <w:bCs/>
          <w:i/>
          <w:color w:val="002060"/>
          <w:sz w:val="24"/>
          <w:szCs w:val="24"/>
        </w:rPr>
        <w:t>a potential expansion in both the types of activities and service areas eligible for consideration in banks’ CRA evaluations.</w:t>
      </w:r>
    </w:p>
    <w:p w:rsidR="008A3545" w:rsidRDefault="008A3545" w:rsidP="005A7FB7">
      <w:pPr>
        <w:spacing w:before="120" w:after="120" w:line="259" w:lineRule="auto"/>
        <w:rPr>
          <w:rFonts w:ascii="Calibri" w:eastAsia="Calibri" w:hAnsi="Calibri" w:cs="Times New Roman"/>
          <w:b/>
          <w:bCs/>
          <w:i/>
          <w:color w:val="000000" w:themeColor="text1"/>
          <w:sz w:val="24"/>
          <w:szCs w:val="24"/>
        </w:rPr>
      </w:pPr>
    </w:p>
    <w:p w:rsidR="005A7FB7" w:rsidRPr="00CE05FF" w:rsidRDefault="00B13C4F" w:rsidP="00C71A01">
      <w:pPr>
        <w:keepNext/>
        <w:spacing w:before="120" w:after="120" w:line="259" w:lineRule="auto"/>
        <w:rPr>
          <w:rFonts w:ascii="Calibri" w:eastAsia="Calibri" w:hAnsi="Calibri" w:cs="Times New Roman"/>
          <w:b/>
          <w:bCs/>
          <w:i/>
          <w:color w:val="000000" w:themeColor="text1"/>
          <w:sz w:val="24"/>
          <w:szCs w:val="24"/>
        </w:rPr>
      </w:pPr>
      <w:r w:rsidRPr="00B13C4F">
        <w:rPr>
          <w:rFonts w:ascii="Calibri" w:eastAsia="Calibri" w:hAnsi="Calibri" w:cs="Times New Roman"/>
          <w:b/>
          <w:bCs/>
          <w:i/>
          <w:color w:val="000000" w:themeColor="text1"/>
          <w:sz w:val="24"/>
          <w:szCs w:val="24"/>
        </w:rPr>
        <w:t>Comptroller of the Currency Discusses Priorities for the Federal Banking System</w:t>
      </w:r>
      <w:r>
        <w:rPr>
          <w:rFonts w:ascii="Calibri" w:eastAsia="Calibri" w:hAnsi="Calibri" w:cs="Times New Roman"/>
          <w:b/>
          <w:bCs/>
          <w:i/>
          <w:color w:val="000000" w:themeColor="text1"/>
          <w:sz w:val="24"/>
          <w:szCs w:val="24"/>
        </w:rPr>
        <w:t xml:space="preserve"> (06.14.2018)</w:t>
      </w:r>
    </w:p>
    <w:p w:rsidR="00B13C4F" w:rsidRPr="00B13C4F" w:rsidRDefault="00B13C4F" w:rsidP="00B13C4F">
      <w:pPr>
        <w:spacing w:before="120" w:after="120" w:line="259" w:lineRule="auto"/>
        <w:rPr>
          <w:rFonts w:ascii="Calibri" w:eastAsia="Calibri" w:hAnsi="Calibri" w:cs="Times New Roman"/>
          <w:bCs/>
          <w:color w:val="000000" w:themeColor="text1"/>
          <w:sz w:val="24"/>
          <w:szCs w:val="24"/>
        </w:rPr>
      </w:pPr>
      <w:r w:rsidRPr="00B13C4F">
        <w:rPr>
          <w:rFonts w:ascii="Calibri" w:eastAsia="Calibri" w:hAnsi="Calibri" w:cs="Times New Roman"/>
          <w:bCs/>
          <w:color w:val="000000" w:themeColor="text1"/>
          <w:sz w:val="24"/>
          <w:szCs w:val="24"/>
        </w:rPr>
        <w:t xml:space="preserve">WASHINGTON—Comptroller of the Currency Joseph M. </w:t>
      </w:r>
      <w:proofErr w:type="spellStart"/>
      <w:r w:rsidRPr="00B13C4F">
        <w:rPr>
          <w:rFonts w:ascii="Calibri" w:eastAsia="Calibri" w:hAnsi="Calibri" w:cs="Times New Roman"/>
          <w:bCs/>
          <w:color w:val="000000" w:themeColor="text1"/>
          <w:sz w:val="24"/>
          <w:szCs w:val="24"/>
        </w:rPr>
        <w:t>Otting</w:t>
      </w:r>
      <w:proofErr w:type="spellEnd"/>
      <w:r w:rsidRPr="00B13C4F">
        <w:rPr>
          <w:rFonts w:ascii="Calibri" w:eastAsia="Calibri" w:hAnsi="Calibri" w:cs="Times New Roman"/>
          <w:bCs/>
          <w:color w:val="000000" w:themeColor="text1"/>
          <w:sz w:val="24"/>
          <w:szCs w:val="24"/>
        </w:rPr>
        <w:t xml:space="preserve"> discussed his priorities for the agency and the federal banking system during testimony before the Senate Committee on Banki</w:t>
      </w:r>
      <w:r>
        <w:rPr>
          <w:rFonts w:ascii="Calibri" w:eastAsia="Calibri" w:hAnsi="Calibri" w:cs="Times New Roman"/>
          <w:bCs/>
          <w:color w:val="000000" w:themeColor="text1"/>
          <w:sz w:val="24"/>
          <w:szCs w:val="24"/>
        </w:rPr>
        <w:t>ng, Housing, and Urban Affairs.</w:t>
      </w:r>
    </w:p>
    <w:p w:rsidR="00B13C4F" w:rsidRPr="00B13C4F" w:rsidRDefault="00B13C4F" w:rsidP="00B13C4F">
      <w:pPr>
        <w:spacing w:before="120" w:after="120" w:line="259" w:lineRule="auto"/>
        <w:rPr>
          <w:rFonts w:ascii="Calibri" w:eastAsia="Calibri" w:hAnsi="Calibri" w:cs="Times New Roman"/>
          <w:bCs/>
          <w:color w:val="000000" w:themeColor="text1"/>
          <w:sz w:val="24"/>
          <w:szCs w:val="24"/>
        </w:rPr>
      </w:pPr>
      <w:r w:rsidRPr="00B13C4F">
        <w:rPr>
          <w:rFonts w:ascii="Calibri" w:eastAsia="Calibri" w:hAnsi="Calibri" w:cs="Times New Roman"/>
          <w:bCs/>
          <w:color w:val="000000" w:themeColor="text1"/>
          <w:sz w:val="24"/>
          <w:szCs w:val="24"/>
        </w:rPr>
        <w:t>The Comptroller’s testimony highlighted agency efforts</w:t>
      </w:r>
    </w:p>
    <w:p w:rsidR="00B13C4F" w:rsidRPr="000D5EDC" w:rsidRDefault="00B13C4F" w:rsidP="000D5EDC">
      <w:pPr>
        <w:pStyle w:val="ListParagraph"/>
        <w:numPr>
          <w:ilvl w:val="0"/>
          <w:numId w:val="33"/>
        </w:numPr>
        <w:spacing w:before="120" w:after="120" w:line="259" w:lineRule="auto"/>
        <w:rPr>
          <w:rFonts w:ascii="Calibri" w:eastAsia="Calibri" w:hAnsi="Calibri"/>
          <w:bCs/>
          <w:color w:val="000000" w:themeColor="text1"/>
        </w:rPr>
      </w:pPr>
      <w:r w:rsidRPr="000D5EDC">
        <w:rPr>
          <w:rFonts w:ascii="Calibri" w:eastAsia="Calibri" w:hAnsi="Calibri"/>
          <w:bCs/>
          <w:color w:val="000000" w:themeColor="text1"/>
        </w:rPr>
        <w:t>to modernize the regulatory approach to the Community Reinvestment Act to promote investment where it is needed most;</w:t>
      </w:r>
    </w:p>
    <w:p w:rsidR="00B13C4F" w:rsidRPr="000D5EDC" w:rsidRDefault="00B13C4F" w:rsidP="000D5EDC">
      <w:pPr>
        <w:pStyle w:val="ListParagraph"/>
        <w:numPr>
          <w:ilvl w:val="0"/>
          <w:numId w:val="33"/>
        </w:numPr>
        <w:spacing w:before="120" w:after="120" w:line="259" w:lineRule="auto"/>
        <w:rPr>
          <w:rFonts w:ascii="Calibri" w:eastAsia="Calibri" w:hAnsi="Calibri"/>
          <w:bCs/>
          <w:color w:val="000000" w:themeColor="text1"/>
        </w:rPr>
      </w:pPr>
      <w:r w:rsidRPr="000D5EDC">
        <w:rPr>
          <w:rFonts w:ascii="Calibri" w:eastAsia="Calibri" w:hAnsi="Calibri"/>
          <w:bCs/>
          <w:color w:val="000000" w:themeColor="text1"/>
        </w:rPr>
        <w:t>to encourage banks to meet customers’ needs for short-term, small dollar credit;</w:t>
      </w:r>
    </w:p>
    <w:p w:rsidR="00B13C4F" w:rsidRPr="000D5EDC" w:rsidRDefault="00B13C4F" w:rsidP="000D5EDC">
      <w:pPr>
        <w:pStyle w:val="ListParagraph"/>
        <w:numPr>
          <w:ilvl w:val="0"/>
          <w:numId w:val="33"/>
        </w:numPr>
        <w:spacing w:before="120" w:after="120" w:line="259" w:lineRule="auto"/>
        <w:rPr>
          <w:rFonts w:ascii="Calibri" w:eastAsia="Calibri" w:hAnsi="Calibri"/>
          <w:bCs/>
          <w:color w:val="000000" w:themeColor="text1"/>
        </w:rPr>
      </w:pPr>
      <w:r w:rsidRPr="000D5EDC">
        <w:rPr>
          <w:rFonts w:ascii="Calibri" w:eastAsia="Calibri" w:hAnsi="Calibri"/>
          <w:bCs/>
          <w:color w:val="000000" w:themeColor="text1"/>
        </w:rPr>
        <w:t>to promote more efficient compliance with the Bank Secrecy Act and anti-money laundering regulations that protect the nation’s banking system from being used for illegal purposes;</w:t>
      </w:r>
    </w:p>
    <w:p w:rsidR="00B13C4F" w:rsidRPr="000D5EDC" w:rsidRDefault="00B13C4F" w:rsidP="000D5EDC">
      <w:pPr>
        <w:pStyle w:val="ListParagraph"/>
        <w:numPr>
          <w:ilvl w:val="0"/>
          <w:numId w:val="33"/>
        </w:numPr>
        <w:spacing w:before="120" w:after="120" w:line="259" w:lineRule="auto"/>
        <w:rPr>
          <w:rFonts w:ascii="Calibri" w:eastAsia="Calibri" w:hAnsi="Calibri"/>
          <w:bCs/>
          <w:color w:val="000000" w:themeColor="text1"/>
        </w:rPr>
      </w:pPr>
      <w:r w:rsidRPr="000D5EDC">
        <w:rPr>
          <w:rFonts w:ascii="Calibri" w:eastAsia="Calibri" w:hAnsi="Calibri"/>
          <w:bCs/>
          <w:color w:val="000000" w:themeColor="text1"/>
        </w:rPr>
        <w:t>to simplify regulatory capital and the Volcker Rule, particularly for small and midsize banks; and</w:t>
      </w:r>
    </w:p>
    <w:p w:rsidR="00B13C4F" w:rsidRPr="000D5EDC" w:rsidRDefault="00B13C4F" w:rsidP="000D5EDC">
      <w:pPr>
        <w:pStyle w:val="ListParagraph"/>
        <w:numPr>
          <w:ilvl w:val="0"/>
          <w:numId w:val="33"/>
        </w:numPr>
        <w:spacing w:before="120" w:after="120" w:line="259" w:lineRule="auto"/>
        <w:rPr>
          <w:rFonts w:ascii="Calibri" w:eastAsia="Calibri" w:hAnsi="Calibri"/>
          <w:bCs/>
          <w:color w:val="000000" w:themeColor="text1"/>
        </w:rPr>
      </w:pPr>
      <w:r w:rsidRPr="000D5EDC">
        <w:rPr>
          <w:rFonts w:ascii="Calibri" w:eastAsia="Calibri" w:hAnsi="Calibri"/>
          <w:bCs/>
          <w:color w:val="000000" w:themeColor="text1"/>
        </w:rPr>
        <w:t>to ensure the agency operates as effectively and efficiently as possible.</w:t>
      </w:r>
    </w:p>
    <w:p w:rsidR="00B13C4F" w:rsidRDefault="00B13C4F" w:rsidP="00B13C4F">
      <w:pPr>
        <w:spacing w:before="120" w:after="120" w:line="259" w:lineRule="auto"/>
        <w:rPr>
          <w:rFonts w:ascii="Calibri" w:eastAsia="Calibri" w:hAnsi="Calibri" w:cs="Times New Roman"/>
          <w:bCs/>
          <w:color w:val="000000" w:themeColor="text1"/>
          <w:sz w:val="24"/>
          <w:szCs w:val="24"/>
        </w:rPr>
      </w:pPr>
      <w:r w:rsidRPr="00B13C4F">
        <w:rPr>
          <w:rFonts w:ascii="Calibri" w:eastAsia="Calibri" w:hAnsi="Calibri" w:cs="Times New Roman"/>
          <w:bCs/>
          <w:color w:val="000000" w:themeColor="text1"/>
          <w:sz w:val="24"/>
          <w:szCs w:val="24"/>
        </w:rPr>
        <w:t>The testimony also provides an overview of the condition of the federal banking system and the key risks it faces.</w:t>
      </w:r>
    </w:p>
    <w:p w:rsidR="005A7FB7" w:rsidRDefault="005A7FB7" w:rsidP="00B13C4F">
      <w:pPr>
        <w:spacing w:before="120" w:after="120" w:line="259" w:lineRule="auto"/>
        <w:rPr>
          <w:rFonts w:ascii="Calibri" w:eastAsia="Calibri" w:hAnsi="Calibri" w:cs="Times New Roman"/>
          <w:bCs/>
          <w:color w:val="000000"/>
          <w:sz w:val="24"/>
          <w:szCs w:val="24"/>
        </w:rPr>
      </w:pPr>
      <w:r w:rsidRPr="00482EAD">
        <w:rPr>
          <w:rFonts w:ascii="Calibri" w:eastAsia="Calibri" w:hAnsi="Calibri" w:cs="Times New Roman"/>
          <w:b/>
          <w:bCs/>
          <w:color w:val="000000"/>
          <w:sz w:val="24"/>
          <w:szCs w:val="24"/>
        </w:rPr>
        <w:t>Source</w:t>
      </w:r>
      <w:r w:rsidRPr="00CE05FF">
        <w:rPr>
          <w:rFonts w:ascii="Calibri" w:eastAsia="Calibri" w:hAnsi="Calibri" w:cs="Times New Roman"/>
          <w:bCs/>
          <w:color w:val="000000"/>
          <w:sz w:val="24"/>
          <w:szCs w:val="24"/>
        </w:rPr>
        <w:t xml:space="preserve"> </w:t>
      </w:r>
      <w:hyperlink r:id="rId19" w:history="1">
        <w:r w:rsidRPr="00B13C4F">
          <w:rPr>
            <w:rStyle w:val="Hyperlink"/>
            <w:rFonts w:ascii="Calibri" w:eastAsia="Calibri" w:hAnsi="Calibri"/>
            <w:sz w:val="24"/>
            <w:szCs w:val="24"/>
          </w:rPr>
          <w:t>link</w:t>
        </w:r>
      </w:hyperlink>
      <w:r w:rsidRPr="00CE05FF">
        <w:rPr>
          <w:rFonts w:ascii="Calibri" w:eastAsia="Calibri" w:hAnsi="Calibri" w:cs="Times New Roman"/>
          <w:bCs/>
          <w:color w:val="000000"/>
          <w:sz w:val="24"/>
          <w:szCs w:val="24"/>
        </w:rPr>
        <w:t xml:space="preserve">. </w:t>
      </w:r>
    </w:p>
    <w:p w:rsidR="005A7FB7" w:rsidRPr="00482EAD" w:rsidRDefault="005A7FB7" w:rsidP="005A7FB7">
      <w:pPr>
        <w:spacing w:before="120" w:after="120" w:line="259" w:lineRule="auto"/>
        <w:rPr>
          <w:rFonts w:ascii="Calibri" w:eastAsia="Calibri" w:hAnsi="Calibri" w:cs="Times New Roman"/>
          <w:b/>
          <w:bCs/>
          <w:i/>
          <w:color w:val="000000"/>
          <w:sz w:val="24"/>
          <w:szCs w:val="24"/>
        </w:rPr>
      </w:pPr>
      <w:r w:rsidRPr="0034584A">
        <w:rPr>
          <w:rFonts w:ascii="Calibri" w:eastAsia="Calibri" w:hAnsi="Calibri" w:cs="Times New Roman"/>
          <w:b/>
          <w:bCs/>
          <w:i/>
          <w:color w:val="002060"/>
          <w:sz w:val="24"/>
          <w:szCs w:val="24"/>
        </w:rPr>
        <w:t xml:space="preserve">Comment: </w:t>
      </w:r>
      <w:r w:rsidR="000D5EDC">
        <w:rPr>
          <w:rFonts w:ascii="Calibri" w:eastAsia="Calibri" w:hAnsi="Calibri" w:cs="Times New Roman"/>
          <w:b/>
          <w:bCs/>
          <w:i/>
          <w:color w:val="002060"/>
          <w:sz w:val="24"/>
          <w:szCs w:val="24"/>
        </w:rPr>
        <w:t xml:space="preserve">This testimony reflects the impact of having a Comptroller with industry experience.  We applaud </w:t>
      </w:r>
      <w:proofErr w:type="gramStart"/>
      <w:r w:rsidR="000D5EDC">
        <w:rPr>
          <w:rFonts w:ascii="Calibri" w:eastAsia="Calibri" w:hAnsi="Calibri" w:cs="Times New Roman"/>
          <w:b/>
          <w:bCs/>
          <w:i/>
          <w:color w:val="002060"/>
          <w:sz w:val="24"/>
          <w:szCs w:val="24"/>
        </w:rPr>
        <w:t>all of these</w:t>
      </w:r>
      <w:proofErr w:type="gramEnd"/>
      <w:r w:rsidR="000D5EDC">
        <w:rPr>
          <w:rFonts w:ascii="Calibri" w:eastAsia="Calibri" w:hAnsi="Calibri" w:cs="Times New Roman"/>
          <w:b/>
          <w:bCs/>
          <w:i/>
          <w:color w:val="002060"/>
          <w:sz w:val="24"/>
          <w:szCs w:val="24"/>
        </w:rPr>
        <w:t xml:space="preserve"> efforts.</w:t>
      </w:r>
      <w:r w:rsidR="009023FC">
        <w:rPr>
          <w:rFonts w:ascii="Calibri" w:eastAsia="Calibri" w:hAnsi="Calibri" w:cs="Times New Roman"/>
          <w:b/>
          <w:bCs/>
          <w:i/>
          <w:color w:val="002060"/>
          <w:sz w:val="24"/>
          <w:szCs w:val="24"/>
        </w:rPr>
        <w:t xml:space="preserve"> On the CRA front, </w:t>
      </w:r>
      <w:proofErr w:type="spellStart"/>
      <w:r w:rsidR="009023FC">
        <w:rPr>
          <w:rFonts w:ascii="Calibri" w:eastAsia="Calibri" w:hAnsi="Calibri" w:cs="Times New Roman"/>
          <w:b/>
          <w:bCs/>
          <w:i/>
          <w:color w:val="002060"/>
          <w:sz w:val="24"/>
          <w:szCs w:val="24"/>
        </w:rPr>
        <w:t>Otting</w:t>
      </w:r>
      <w:proofErr w:type="spellEnd"/>
      <w:r w:rsidR="009023FC">
        <w:rPr>
          <w:rFonts w:ascii="Calibri" w:eastAsia="Calibri" w:hAnsi="Calibri" w:cs="Times New Roman"/>
          <w:b/>
          <w:bCs/>
          <w:i/>
          <w:color w:val="002060"/>
          <w:sz w:val="24"/>
          <w:szCs w:val="24"/>
        </w:rPr>
        <w:t xml:space="preserve"> </w:t>
      </w:r>
      <w:r w:rsidR="001815C8">
        <w:rPr>
          <w:rFonts w:ascii="Calibri" w:eastAsia="Calibri" w:hAnsi="Calibri" w:cs="Times New Roman"/>
          <w:b/>
          <w:bCs/>
          <w:i/>
          <w:color w:val="002060"/>
          <w:sz w:val="24"/>
          <w:szCs w:val="24"/>
        </w:rPr>
        <w:t xml:space="preserve">cited </w:t>
      </w:r>
      <w:r w:rsidR="001815C8" w:rsidRPr="001815C8">
        <w:rPr>
          <w:rFonts w:ascii="Calibri" w:eastAsia="Calibri" w:hAnsi="Calibri" w:cs="Times New Roman"/>
          <w:b/>
          <w:bCs/>
          <w:i/>
          <w:color w:val="002060"/>
          <w:sz w:val="24"/>
          <w:szCs w:val="24"/>
        </w:rPr>
        <w:t>broadening the list of activities that qualify for CRA consideration and revising the concept of assessment areas</w:t>
      </w:r>
      <w:r w:rsidR="001815C8">
        <w:rPr>
          <w:rFonts w:ascii="Calibri" w:eastAsia="Calibri" w:hAnsi="Calibri" w:cs="Times New Roman"/>
          <w:b/>
          <w:bCs/>
          <w:i/>
          <w:color w:val="002060"/>
          <w:sz w:val="24"/>
          <w:szCs w:val="24"/>
        </w:rPr>
        <w:t xml:space="preserve"> as a regulatory priority.</w:t>
      </w:r>
    </w:p>
    <w:p w:rsidR="007D6F81" w:rsidRDefault="007D6F81" w:rsidP="00063F3D">
      <w:pPr>
        <w:spacing w:before="120" w:after="120" w:line="259" w:lineRule="auto"/>
        <w:rPr>
          <w:rFonts w:ascii="Calibri" w:eastAsia="Calibri" w:hAnsi="Calibri" w:cs="Times New Roman"/>
          <w:b/>
          <w:bCs/>
          <w:i/>
          <w:color w:val="000000" w:themeColor="text1"/>
          <w:sz w:val="24"/>
          <w:szCs w:val="24"/>
        </w:rPr>
      </w:pPr>
    </w:p>
    <w:p w:rsidR="00B13C4F" w:rsidRDefault="00B13C4F" w:rsidP="005A7FB7">
      <w:pPr>
        <w:spacing w:before="120" w:after="120" w:line="259" w:lineRule="auto"/>
        <w:rPr>
          <w:rFonts w:ascii="Calibri" w:eastAsia="Calibri" w:hAnsi="Calibri" w:cs="Times New Roman"/>
          <w:b/>
          <w:bCs/>
          <w:i/>
          <w:color w:val="000000" w:themeColor="text1"/>
          <w:sz w:val="24"/>
          <w:szCs w:val="24"/>
        </w:rPr>
      </w:pPr>
      <w:r w:rsidRPr="00B13C4F">
        <w:rPr>
          <w:rFonts w:ascii="Calibri" w:eastAsia="Calibri" w:hAnsi="Calibri" w:cs="Times New Roman"/>
          <w:b/>
          <w:bCs/>
          <w:i/>
          <w:color w:val="000000" w:themeColor="text1"/>
          <w:sz w:val="24"/>
          <w:szCs w:val="24"/>
        </w:rPr>
        <w:t>OCC Report Highlights Key Risks for Federal Banking System</w:t>
      </w:r>
      <w:r>
        <w:rPr>
          <w:rFonts w:ascii="Calibri" w:eastAsia="Calibri" w:hAnsi="Calibri" w:cs="Times New Roman"/>
          <w:b/>
          <w:bCs/>
          <w:i/>
          <w:color w:val="000000" w:themeColor="text1"/>
          <w:sz w:val="24"/>
          <w:szCs w:val="24"/>
        </w:rPr>
        <w:t xml:space="preserve"> (05.24.2018)</w:t>
      </w:r>
    </w:p>
    <w:p w:rsidR="00B13C4F" w:rsidRPr="00B13C4F" w:rsidRDefault="00B13C4F" w:rsidP="00B13C4F">
      <w:pPr>
        <w:spacing w:before="120" w:after="120" w:line="259" w:lineRule="auto"/>
        <w:rPr>
          <w:rFonts w:ascii="Calibri" w:eastAsia="Calibri" w:hAnsi="Calibri" w:cs="Times New Roman"/>
          <w:bCs/>
          <w:color w:val="000000" w:themeColor="text1"/>
          <w:sz w:val="24"/>
          <w:szCs w:val="24"/>
        </w:rPr>
      </w:pPr>
      <w:r w:rsidRPr="00B13C4F">
        <w:rPr>
          <w:rFonts w:ascii="Calibri" w:eastAsia="Calibri" w:hAnsi="Calibri" w:cs="Times New Roman"/>
          <w:bCs/>
          <w:color w:val="000000" w:themeColor="text1"/>
          <w:sz w:val="24"/>
          <w:szCs w:val="24"/>
        </w:rPr>
        <w:t>WASHINGTON — The Office of the Comptroller of the Currency (OCC) reported credit, operational, compliance, and interest rate risks are key themes for the federal banking system in its Semiannual Ri</w:t>
      </w:r>
      <w:r>
        <w:rPr>
          <w:rFonts w:ascii="Calibri" w:eastAsia="Calibri" w:hAnsi="Calibri" w:cs="Times New Roman"/>
          <w:bCs/>
          <w:color w:val="000000" w:themeColor="text1"/>
          <w:sz w:val="24"/>
          <w:szCs w:val="24"/>
        </w:rPr>
        <w:t>sk Perspective for Spring 2018.</w:t>
      </w:r>
    </w:p>
    <w:p w:rsidR="00B13C4F" w:rsidRPr="00B13C4F" w:rsidRDefault="00B13C4F" w:rsidP="00B13C4F">
      <w:pPr>
        <w:spacing w:before="120" w:after="120" w:line="259" w:lineRule="auto"/>
        <w:rPr>
          <w:rFonts w:ascii="Calibri" w:eastAsia="Calibri" w:hAnsi="Calibri" w:cs="Times New Roman"/>
          <w:bCs/>
          <w:color w:val="000000" w:themeColor="text1"/>
          <w:sz w:val="24"/>
          <w:szCs w:val="24"/>
        </w:rPr>
      </w:pPr>
      <w:r w:rsidRPr="00B13C4F">
        <w:rPr>
          <w:rFonts w:ascii="Calibri" w:eastAsia="Calibri" w:hAnsi="Calibri" w:cs="Times New Roman"/>
          <w:bCs/>
          <w:color w:val="000000" w:themeColor="text1"/>
          <w:sz w:val="24"/>
          <w:szCs w:val="24"/>
        </w:rPr>
        <w:t>High</w:t>
      </w:r>
      <w:r>
        <w:rPr>
          <w:rFonts w:ascii="Calibri" w:eastAsia="Calibri" w:hAnsi="Calibri" w:cs="Times New Roman"/>
          <w:bCs/>
          <w:color w:val="000000" w:themeColor="text1"/>
          <w:sz w:val="24"/>
          <w:szCs w:val="24"/>
        </w:rPr>
        <w:t>lights from the report include:</w:t>
      </w:r>
    </w:p>
    <w:p w:rsidR="00B13C4F" w:rsidRPr="00B13C4F" w:rsidRDefault="00B13C4F" w:rsidP="00B13C4F">
      <w:pPr>
        <w:spacing w:before="120" w:after="120" w:line="259" w:lineRule="auto"/>
        <w:rPr>
          <w:rFonts w:ascii="Calibri" w:eastAsia="Calibri" w:hAnsi="Calibri" w:cs="Times New Roman"/>
          <w:bCs/>
          <w:color w:val="000000" w:themeColor="text1"/>
          <w:sz w:val="24"/>
          <w:szCs w:val="24"/>
        </w:rPr>
      </w:pPr>
      <w:r w:rsidRPr="002F669E">
        <w:rPr>
          <w:rFonts w:ascii="Calibri" w:eastAsia="Calibri" w:hAnsi="Calibri" w:cs="Times New Roman"/>
          <w:b/>
          <w:bCs/>
          <w:color w:val="000000" w:themeColor="text1"/>
          <w:sz w:val="24"/>
          <w:szCs w:val="24"/>
        </w:rPr>
        <w:t>Competition for quality loans is strong</w:t>
      </w:r>
      <w:r w:rsidRPr="00B13C4F">
        <w:rPr>
          <w:rFonts w:ascii="Calibri" w:eastAsia="Calibri" w:hAnsi="Calibri" w:cs="Times New Roman"/>
          <w:bCs/>
          <w:color w:val="000000" w:themeColor="text1"/>
          <w:sz w:val="24"/>
          <w:szCs w:val="24"/>
        </w:rPr>
        <w:t>, as examiners note evidence of eased underwriting. The accommodating credit environment warrants a continued focus on underwriting practices to monitor and assess credit risk and lender complacency.</w:t>
      </w:r>
    </w:p>
    <w:p w:rsidR="00B13C4F" w:rsidRPr="00B13C4F" w:rsidRDefault="00B13C4F" w:rsidP="00B13C4F">
      <w:pPr>
        <w:spacing w:before="120" w:after="120" w:line="259" w:lineRule="auto"/>
        <w:rPr>
          <w:rFonts w:ascii="Calibri" w:eastAsia="Calibri" w:hAnsi="Calibri" w:cs="Times New Roman"/>
          <w:bCs/>
          <w:color w:val="000000" w:themeColor="text1"/>
          <w:sz w:val="24"/>
          <w:szCs w:val="24"/>
        </w:rPr>
      </w:pPr>
      <w:r w:rsidRPr="00B13C4F">
        <w:rPr>
          <w:rFonts w:ascii="Calibri" w:eastAsia="Calibri" w:hAnsi="Calibri" w:cs="Times New Roman"/>
          <w:b/>
          <w:bCs/>
          <w:color w:val="000000" w:themeColor="text1"/>
          <w:sz w:val="24"/>
          <w:szCs w:val="24"/>
        </w:rPr>
        <w:t>Operational risk</w:t>
      </w:r>
      <w:r w:rsidRPr="00B13C4F">
        <w:rPr>
          <w:rFonts w:ascii="Calibri" w:eastAsia="Calibri" w:hAnsi="Calibri" w:cs="Times New Roman"/>
          <w:bCs/>
          <w:color w:val="000000" w:themeColor="text1"/>
          <w:sz w:val="24"/>
          <w:szCs w:val="24"/>
        </w:rPr>
        <w:t xml:space="preserve"> </w:t>
      </w:r>
      <w:r w:rsidRPr="002F669E">
        <w:rPr>
          <w:rFonts w:ascii="Calibri" w:eastAsia="Calibri" w:hAnsi="Calibri" w:cs="Times New Roman"/>
          <w:b/>
          <w:bCs/>
          <w:color w:val="000000" w:themeColor="text1"/>
          <w:sz w:val="24"/>
          <w:szCs w:val="24"/>
        </w:rPr>
        <w:t>is elevated</w:t>
      </w:r>
      <w:r w:rsidRPr="00B13C4F">
        <w:rPr>
          <w:rFonts w:ascii="Calibri" w:eastAsia="Calibri" w:hAnsi="Calibri" w:cs="Times New Roman"/>
          <w:bCs/>
          <w:color w:val="000000" w:themeColor="text1"/>
          <w:sz w:val="24"/>
          <w:szCs w:val="24"/>
        </w:rPr>
        <w:t xml:space="preserve"> as banks adapt business models, transform technology and operating processes, and respond to evolving cyber threats.</w:t>
      </w:r>
    </w:p>
    <w:p w:rsidR="00B13C4F" w:rsidRPr="00B13C4F" w:rsidRDefault="00B13C4F" w:rsidP="00B13C4F">
      <w:pPr>
        <w:spacing w:before="120" w:after="120" w:line="259" w:lineRule="auto"/>
        <w:rPr>
          <w:rFonts w:ascii="Calibri" w:eastAsia="Calibri" w:hAnsi="Calibri" w:cs="Times New Roman"/>
          <w:bCs/>
          <w:color w:val="000000" w:themeColor="text1"/>
          <w:sz w:val="24"/>
          <w:szCs w:val="24"/>
        </w:rPr>
      </w:pPr>
      <w:r w:rsidRPr="00B13C4F">
        <w:rPr>
          <w:rFonts w:ascii="Calibri" w:eastAsia="Calibri" w:hAnsi="Calibri" w:cs="Times New Roman"/>
          <w:b/>
          <w:bCs/>
          <w:color w:val="000000" w:themeColor="text1"/>
          <w:sz w:val="24"/>
          <w:szCs w:val="24"/>
        </w:rPr>
        <w:t xml:space="preserve">Compliance </w:t>
      </w:r>
      <w:r w:rsidRPr="002F669E">
        <w:rPr>
          <w:rFonts w:ascii="Calibri" w:eastAsia="Calibri" w:hAnsi="Calibri" w:cs="Times New Roman"/>
          <w:b/>
          <w:bCs/>
          <w:color w:val="000000" w:themeColor="text1"/>
          <w:sz w:val="24"/>
          <w:szCs w:val="24"/>
        </w:rPr>
        <w:t>risk is elevated</w:t>
      </w:r>
      <w:r w:rsidRPr="00B13C4F">
        <w:rPr>
          <w:rFonts w:ascii="Calibri" w:eastAsia="Calibri" w:hAnsi="Calibri" w:cs="Times New Roman"/>
          <w:bCs/>
          <w:color w:val="000000" w:themeColor="text1"/>
          <w:sz w:val="24"/>
          <w:szCs w:val="24"/>
        </w:rPr>
        <w:t xml:space="preserve"> as banks manage money laundering risks and implement changes to policies and procedures to comply with amended Bank Secrecy Act and consumer protection requirements.</w:t>
      </w:r>
    </w:p>
    <w:p w:rsidR="00B13C4F" w:rsidRPr="00B13C4F" w:rsidRDefault="00B13C4F" w:rsidP="00B13C4F">
      <w:pPr>
        <w:spacing w:before="120" w:after="120" w:line="259" w:lineRule="auto"/>
        <w:rPr>
          <w:rFonts w:ascii="Calibri" w:eastAsia="Calibri" w:hAnsi="Calibri" w:cs="Times New Roman"/>
          <w:bCs/>
          <w:color w:val="000000" w:themeColor="text1"/>
          <w:sz w:val="24"/>
          <w:szCs w:val="24"/>
        </w:rPr>
      </w:pPr>
      <w:r w:rsidRPr="00B13C4F">
        <w:rPr>
          <w:rFonts w:ascii="Calibri" w:eastAsia="Calibri" w:hAnsi="Calibri" w:cs="Times New Roman"/>
          <w:bCs/>
          <w:color w:val="000000" w:themeColor="text1"/>
          <w:sz w:val="24"/>
          <w:szCs w:val="24"/>
        </w:rPr>
        <w:lastRenderedPageBreak/>
        <w:t>The continued increase in market interest rates may eventually lead to higher funding costs for banks, as economic growth increases loan demand and competition for funding pressures banks to raise deposit yields.</w:t>
      </w:r>
    </w:p>
    <w:p w:rsidR="00B13C4F" w:rsidRDefault="00B13C4F" w:rsidP="00B13C4F">
      <w:pPr>
        <w:spacing w:before="120" w:after="120" w:line="259" w:lineRule="auto"/>
        <w:rPr>
          <w:rFonts w:ascii="Calibri" w:eastAsia="Calibri" w:hAnsi="Calibri" w:cs="Times New Roman"/>
          <w:bCs/>
          <w:color w:val="000000" w:themeColor="text1"/>
          <w:sz w:val="24"/>
          <w:szCs w:val="24"/>
        </w:rPr>
      </w:pPr>
      <w:r w:rsidRPr="00B13C4F">
        <w:rPr>
          <w:rFonts w:ascii="Calibri" w:eastAsia="Calibri" w:hAnsi="Calibri" w:cs="Times New Roman"/>
          <w:bCs/>
          <w:color w:val="000000" w:themeColor="text1"/>
          <w:sz w:val="24"/>
          <w:szCs w:val="24"/>
        </w:rPr>
        <w:t>The report covers risks facing national banks and federal savings associations based on data as of March 31, 2018. The report presents data in five main areas: the operating environment, bank performance, special topics in emerging risk, trends in key risks, and supervisory actions. It focuses on issues that pose threats to those financial institutions regulated by the OCC and is intended as a resource to the industry, examiners, and the public.</w:t>
      </w:r>
    </w:p>
    <w:p w:rsidR="005A7FB7" w:rsidRDefault="005A7FB7" w:rsidP="00B13C4F">
      <w:pPr>
        <w:spacing w:before="120" w:after="120" w:line="259" w:lineRule="auto"/>
        <w:rPr>
          <w:rFonts w:ascii="Calibri" w:eastAsia="Calibri" w:hAnsi="Calibri" w:cs="Times New Roman"/>
          <w:bCs/>
          <w:color w:val="000000"/>
          <w:sz w:val="24"/>
          <w:szCs w:val="24"/>
        </w:rPr>
      </w:pPr>
      <w:r w:rsidRPr="00482EAD">
        <w:rPr>
          <w:rFonts w:ascii="Calibri" w:eastAsia="Calibri" w:hAnsi="Calibri" w:cs="Times New Roman"/>
          <w:b/>
          <w:bCs/>
          <w:color w:val="000000"/>
          <w:sz w:val="24"/>
          <w:szCs w:val="24"/>
        </w:rPr>
        <w:t>Source</w:t>
      </w:r>
      <w:r w:rsidRPr="00CE05FF">
        <w:rPr>
          <w:rFonts w:ascii="Calibri" w:eastAsia="Calibri" w:hAnsi="Calibri" w:cs="Times New Roman"/>
          <w:bCs/>
          <w:color w:val="000000"/>
          <w:sz w:val="24"/>
          <w:szCs w:val="24"/>
        </w:rPr>
        <w:t xml:space="preserve"> </w:t>
      </w:r>
      <w:hyperlink r:id="rId20" w:history="1">
        <w:r w:rsidRPr="00B13C4F">
          <w:rPr>
            <w:rStyle w:val="Hyperlink"/>
            <w:rFonts w:ascii="Calibri" w:eastAsia="Calibri" w:hAnsi="Calibri"/>
            <w:sz w:val="24"/>
            <w:szCs w:val="24"/>
          </w:rPr>
          <w:t>link</w:t>
        </w:r>
      </w:hyperlink>
      <w:r w:rsidRPr="00CE05FF">
        <w:rPr>
          <w:rFonts w:ascii="Calibri" w:eastAsia="Calibri" w:hAnsi="Calibri" w:cs="Times New Roman"/>
          <w:bCs/>
          <w:color w:val="000000"/>
          <w:sz w:val="24"/>
          <w:szCs w:val="24"/>
        </w:rPr>
        <w:t xml:space="preserve">. </w:t>
      </w:r>
    </w:p>
    <w:p w:rsidR="005A7FB7" w:rsidRPr="00482EAD" w:rsidRDefault="005A7FB7" w:rsidP="005A7FB7">
      <w:pPr>
        <w:spacing w:before="120" w:after="120" w:line="259" w:lineRule="auto"/>
        <w:rPr>
          <w:rFonts w:ascii="Calibri" w:eastAsia="Calibri" w:hAnsi="Calibri" w:cs="Times New Roman"/>
          <w:b/>
          <w:bCs/>
          <w:i/>
          <w:color w:val="000000"/>
          <w:sz w:val="24"/>
          <w:szCs w:val="24"/>
        </w:rPr>
      </w:pPr>
      <w:r w:rsidRPr="0034584A">
        <w:rPr>
          <w:rFonts w:ascii="Calibri" w:eastAsia="Calibri" w:hAnsi="Calibri" w:cs="Times New Roman"/>
          <w:b/>
          <w:bCs/>
          <w:i/>
          <w:color w:val="002060"/>
          <w:sz w:val="24"/>
          <w:szCs w:val="24"/>
        </w:rPr>
        <w:t xml:space="preserve">Comment: </w:t>
      </w:r>
      <w:r w:rsidR="00636520">
        <w:rPr>
          <w:rFonts w:ascii="Calibri" w:eastAsia="Calibri" w:hAnsi="Calibri" w:cs="Times New Roman"/>
          <w:b/>
          <w:bCs/>
          <w:i/>
          <w:color w:val="002060"/>
          <w:sz w:val="24"/>
          <w:szCs w:val="24"/>
        </w:rPr>
        <w:t>The report noted that ‘…</w:t>
      </w:r>
      <w:r w:rsidR="00636520" w:rsidRPr="00636520">
        <w:rPr>
          <w:rFonts w:ascii="Calibri" w:eastAsia="Calibri" w:hAnsi="Calibri" w:cs="Times New Roman"/>
          <w:b/>
          <w:bCs/>
          <w:i/>
          <w:color w:val="002060"/>
          <w:sz w:val="24"/>
          <w:szCs w:val="24"/>
        </w:rPr>
        <w:t>recent examination findings indicate incremental improvement in banks’ ove</w:t>
      </w:r>
      <w:r w:rsidR="00636520">
        <w:rPr>
          <w:rFonts w:ascii="Calibri" w:eastAsia="Calibri" w:hAnsi="Calibri" w:cs="Times New Roman"/>
          <w:b/>
          <w:bCs/>
          <w:i/>
          <w:color w:val="002060"/>
          <w:sz w:val="24"/>
          <w:szCs w:val="24"/>
        </w:rPr>
        <w:t>rall risk management practices.’ Of concern was evidence of eased credit underwriting as banks face increased competition for quality loans.</w:t>
      </w:r>
    </w:p>
    <w:p w:rsidR="00063F3D" w:rsidRDefault="00063F3D" w:rsidP="00063F3D">
      <w:pPr>
        <w:spacing w:before="120" w:after="120" w:line="259" w:lineRule="auto"/>
        <w:rPr>
          <w:rFonts w:ascii="Calibri" w:eastAsia="Calibri" w:hAnsi="Calibri" w:cs="Times New Roman"/>
          <w:b/>
          <w:i/>
          <w:color w:val="002060"/>
          <w:sz w:val="24"/>
          <w:szCs w:val="24"/>
        </w:rPr>
      </w:pPr>
      <w:bookmarkStart w:id="30" w:name="_Hlk516555136"/>
    </w:p>
    <w:p w:rsidR="007A5F47" w:rsidRDefault="007A5F47" w:rsidP="007A5F47">
      <w:pPr>
        <w:spacing w:before="120" w:after="120" w:line="259" w:lineRule="auto"/>
        <w:rPr>
          <w:rFonts w:ascii="Calibri" w:eastAsia="Calibri" w:hAnsi="Calibri" w:cs="Times New Roman"/>
          <w:b/>
          <w:bCs/>
          <w:i/>
          <w:color w:val="000000" w:themeColor="text1"/>
          <w:sz w:val="24"/>
          <w:szCs w:val="24"/>
        </w:rPr>
      </w:pPr>
      <w:bookmarkStart w:id="31" w:name="_Hlk514920401"/>
      <w:bookmarkEnd w:id="26"/>
      <w:r w:rsidRPr="007A5F47">
        <w:rPr>
          <w:rFonts w:ascii="Calibri" w:eastAsia="Calibri" w:hAnsi="Calibri" w:cs="Times New Roman"/>
          <w:b/>
          <w:bCs/>
          <w:i/>
          <w:color w:val="000000" w:themeColor="text1"/>
          <w:sz w:val="24"/>
          <w:szCs w:val="24"/>
        </w:rPr>
        <w:t>Comptroller Urges Banks to Meet Consumers' Short-Term, Small-Dollar Credit Needs</w:t>
      </w:r>
      <w:r>
        <w:rPr>
          <w:rFonts w:ascii="Calibri" w:eastAsia="Calibri" w:hAnsi="Calibri" w:cs="Times New Roman"/>
          <w:b/>
          <w:bCs/>
          <w:i/>
          <w:color w:val="000000" w:themeColor="text1"/>
          <w:sz w:val="24"/>
          <w:szCs w:val="24"/>
        </w:rPr>
        <w:t xml:space="preserve"> (05.23.2018)</w:t>
      </w:r>
    </w:p>
    <w:p w:rsidR="007A5F47" w:rsidRPr="007A5F47" w:rsidRDefault="007A5F47" w:rsidP="007A5F47">
      <w:pPr>
        <w:spacing w:before="120" w:after="120" w:line="259" w:lineRule="auto"/>
        <w:rPr>
          <w:rFonts w:ascii="Calibri" w:eastAsia="Calibri" w:hAnsi="Calibri" w:cs="Times New Roman"/>
          <w:bCs/>
          <w:color w:val="000000" w:themeColor="text1"/>
          <w:sz w:val="24"/>
          <w:szCs w:val="24"/>
        </w:rPr>
      </w:pPr>
      <w:r w:rsidRPr="007A5F47">
        <w:rPr>
          <w:rFonts w:ascii="Calibri" w:eastAsia="Calibri" w:hAnsi="Calibri" w:cs="Times New Roman"/>
          <w:bCs/>
          <w:color w:val="000000" w:themeColor="text1"/>
          <w:sz w:val="24"/>
          <w:szCs w:val="24"/>
        </w:rPr>
        <w:t xml:space="preserve">WASHINGTON — Comptroller of the Currency Joseph </w:t>
      </w:r>
      <w:proofErr w:type="spellStart"/>
      <w:r w:rsidRPr="007A5F47">
        <w:rPr>
          <w:rFonts w:ascii="Calibri" w:eastAsia="Calibri" w:hAnsi="Calibri" w:cs="Times New Roman"/>
          <w:bCs/>
          <w:color w:val="000000" w:themeColor="text1"/>
          <w:sz w:val="24"/>
          <w:szCs w:val="24"/>
        </w:rPr>
        <w:t>Otting</w:t>
      </w:r>
      <w:proofErr w:type="spellEnd"/>
      <w:r w:rsidRPr="007A5F47">
        <w:rPr>
          <w:rFonts w:ascii="Calibri" w:eastAsia="Calibri" w:hAnsi="Calibri" w:cs="Times New Roman"/>
          <w:bCs/>
          <w:color w:val="000000" w:themeColor="text1"/>
          <w:sz w:val="24"/>
          <w:szCs w:val="24"/>
        </w:rPr>
        <w:t xml:space="preserve"> issued the following statement regarding the release of his agency’s bulletin encouraging national banks and federal savings associations to offer responsible short-term, small-dollar installment loans.</w:t>
      </w:r>
    </w:p>
    <w:p w:rsidR="007A5F47" w:rsidRPr="00CB4E0A" w:rsidRDefault="007A5F47" w:rsidP="007A5F47">
      <w:pPr>
        <w:spacing w:before="120" w:after="120" w:line="259" w:lineRule="auto"/>
        <w:rPr>
          <w:rFonts w:ascii="Calibri" w:eastAsia="Calibri" w:hAnsi="Calibri" w:cs="Times New Roman"/>
          <w:bCs/>
          <w:i/>
          <w:color w:val="000000" w:themeColor="text1"/>
          <w:sz w:val="24"/>
          <w:szCs w:val="24"/>
        </w:rPr>
      </w:pPr>
      <w:r w:rsidRPr="00CB4E0A">
        <w:rPr>
          <w:rFonts w:ascii="Calibri" w:eastAsia="Calibri" w:hAnsi="Calibri" w:cs="Times New Roman"/>
          <w:bCs/>
          <w:i/>
          <w:color w:val="000000" w:themeColor="text1"/>
          <w:sz w:val="24"/>
          <w:szCs w:val="24"/>
        </w:rPr>
        <w:t>Millions of U.S. consumers borrow nearly $90 billion every year in short-term, small dollar loans typically ranging from $300 to $5,000 to make ends meet. Consumers should have more choices that are safe and affordable, and banks should be part of that solution.</w:t>
      </w:r>
    </w:p>
    <w:p w:rsidR="007A5F47" w:rsidRPr="00CB4E0A" w:rsidRDefault="007A5F47" w:rsidP="007A5F47">
      <w:pPr>
        <w:spacing w:before="120" w:after="120" w:line="259" w:lineRule="auto"/>
        <w:rPr>
          <w:rFonts w:ascii="Calibri" w:eastAsia="Calibri" w:hAnsi="Calibri" w:cs="Times New Roman"/>
          <w:bCs/>
          <w:i/>
          <w:color w:val="000000" w:themeColor="text1"/>
          <w:sz w:val="24"/>
          <w:szCs w:val="24"/>
        </w:rPr>
      </w:pPr>
      <w:r w:rsidRPr="00CB4E0A">
        <w:rPr>
          <w:rFonts w:ascii="Calibri" w:eastAsia="Calibri" w:hAnsi="Calibri" w:cs="Times New Roman"/>
          <w:bCs/>
          <w:i/>
          <w:color w:val="000000" w:themeColor="text1"/>
          <w:sz w:val="24"/>
          <w:szCs w:val="24"/>
        </w:rPr>
        <w:t>That is why the Office of the Comptroller of the Currency clarified its position encouraging national banks and federal savings associations to offer responsible short-term, small-dollar installment lending to help meet the credit needs of their customers.</w:t>
      </w:r>
    </w:p>
    <w:p w:rsidR="007A5F47" w:rsidRPr="00CB4E0A" w:rsidRDefault="007A5F47" w:rsidP="007A5F47">
      <w:pPr>
        <w:spacing w:before="120" w:after="120" w:line="259" w:lineRule="auto"/>
        <w:rPr>
          <w:rFonts w:ascii="Calibri" w:eastAsia="Calibri" w:hAnsi="Calibri" w:cs="Times New Roman"/>
          <w:bCs/>
          <w:i/>
          <w:color w:val="000000" w:themeColor="text1"/>
          <w:sz w:val="24"/>
          <w:szCs w:val="24"/>
        </w:rPr>
      </w:pPr>
      <w:r w:rsidRPr="00CB4E0A">
        <w:rPr>
          <w:rFonts w:ascii="Calibri" w:eastAsia="Calibri" w:hAnsi="Calibri" w:cs="Times New Roman"/>
          <w:bCs/>
          <w:i/>
          <w:color w:val="000000" w:themeColor="text1"/>
          <w:sz w:val="24"/>
          <w:szCs w:val="24"/>
        </w:rPr>
        <w:t xml:space="preserve">Banks can provide affordable short-term, small-dollar installment lending options that help consumers, including consumers with weaker credit histories who </w:t>
      </w:r>
      <w:proofErr w:type="gramStart"/>
      <w:r w:rsidRPr="00CB4E0A">
        <w:rPr>
          <w:rFonts w:ascii="Calibri" w:eastAsia="Calibri" w:hAnsi="Calibri" w:cs="Times New Roman"/>
          <w:bCs/>
          <w:i/>
          <w:color w:val="000000" w:themeColor="text1"/>
          <w:sz w:val="24"/>
          <w:szCs w:val="24"/>
        </w:rPr>
        <w:t>have the ability to</w:t>
      </w:r>
      <w:proofErr w:type="gramEnd"/>
      <w:r w:rsidRPr="00CB4E0A">
        <w:rPr>
          <w:rFonts w:ascii="Calibri" w:eastAsia="Calibri" w:hAnsi="Calibri" w:cs="Times New Roman"/>
          <w:bCs/>
          <w:i/>
          <w:color w:val="000000" w:themeColor="text1"/>
          <w:sz w:val="24"/>
          <w:szCs w:val="24"/>
        </w:rPr>
        <w:t xml:space="preserve"> repay. Bank-offered products can help lead consumers to more mainstream financial services without trapping them in cycles of debt. When banks offer products with reasonable pricing and repayment terms, consumers also benefit from other services that banks regularly provide, such as financial education and credit reporting.</w:t>
      </w:r>
    </w:p>
    <w:p w:rsidR="007A5F47" w:rsidRPr="00CB4E0A" w:rsidRDefault="007A5F47" w:rsidP="007A5F47">
      <w:pPr>
        <w:spacing w:before="120" w:after="120" w:line="259" w:lineRule="auto"/>
        <w:rPr>
          <w:rFonts w:ascii="Calibri" w:eastAsia="Calibri" w:hAnsi="Calibri" w:cs="Times New Roman"/>
          <w:bCs/>
          <w:i/>
          <w:color w:val="000000" w:themeColor="text1"/>
          <w:sz w:val="24"/>
          <w:szCs w:val="24"/>
        </w:rPr>
      </w:pPr>
      <w:r w:rsidRPr="00CB4E0A">
        <w:rPr>
          <w:rFonts w:ascii="Calibri" w:eastAsia="Calibri" w:hAnsi="Calibri" w:cs="Times New Roman"/>
          <w:bCs/>
          <w:i/>
          <w:color w:val="000000" w:themeColor="text1"/>
          <w:sz w:val="24"/>
          <w:szCs w:val="24"/>
        </w:rPr>
        <w:t>By participating in this important space, banks increase the supply and choices available to consumers, which can reduce borrowing costs and have other beneficial market effects.</w:t>
      </w:r>
    </w:p>
    <w:p w:rsidR="007A5F47" w:rsidRPr="00CB4E0A" w:rsidRDefault="007A5F47" w:rsidP="007A5F47">
      <w:pPr>
        <w:spacing w:before="120" w:after="120" w:line="259" w:lineRule="auto"/>
        <w:rPr>
          <w:rFonts w:ascii="Calibri" w:eastAsia="Calibri" w:hAnsi="Calibri" w:cs="Times New Roman"/>
          <w:bCs/>
          <w:i/>
          <w:color w:val="000000" w:themeColor="text1"/>
          <w:sz w:val="24"/>
          <w:szCs w:val="24"/>
        </w:rPr>
      </w:pPr>
      <w:r w:rsidRPr="00CB4E0A">
        <w:rPr>
          <w:rFonts w:ascii="Calibri" w:eastAsia="Calibri" w:hAnsi="Calibri" w:cs="Times New Roman"/>
          <w:bCs/>
          <w:i/>
          <w:color w:val="000000" w:themeColor="text1"/>
          <w:sz w:val="24"/>
          <w:szCs w:val="24"/>
        </w:rPr>
        <w:t xml:space="preserve">Banks may not be able to serve </w:t>
      </w:r>
      <w:proofErr w:type="gramStart"/>
      <w:r w:rsidRPr="00CB4E0A">
        <w:rPr>
          <w:rFonts w:ascii="Calibri" w:eastAsia="Calibri" w:hAnsi="Calibri" w:cs="Times New Roman"/>
          <w:bCs/>
          <w:i/>
          <w:color w:val="000000" w:themeColor="text1"/>
          <w:sz w:val="24"/>
          <w:szCs w:val="24"/>
        </w:rPr>
        <w:t>all of</w:t>
      </w:r>
      <w:proofErr w:type="gramEnd"/>
      <w:r w:rsidRPr="00CB4E0A">
        <w:rPr>
          <w:rFonts w:ascii="Calibri" w:eastAsia="Calibri" w:hAnsi="Calibri" w:cs="Times New Roman"/>
          <w:bCs/>
          <w:i/>
          <w:color w:val="000000" w:themeColor="text1"/>
          <w:sz w:val="24"/>
          <w:szCs w:val="24"/>
        </w:rPr>
        <w:t xml:space="preserve"> this large market, but they can reach a significant portion of it and bring additional options and more competition to the marketplace while delivering safe, fair, and affordable products that promote the long-term financial goals of their customers.</w:t>
      </w:r>
    </w:p>
    <w:p w:rsidR="007A5F47" w:rsidRPr="007A5F47" w:rsidRDefault="007A5F47" w:rsidP="007A5F47">
      <w:pPr>
        <w:spacing w:before="120" w:after="120" w:line="259" w:lineRule="auto"/>
        <w:rPr>
          <w:rFonts w:ascii="Calibri" w:eastAsia="Calibri" w:hAnsi="Calibri" w:cs="Times New Roman"/>
          <w:b/>
          <w:bCs/>
          <w:color w:val="000000" w:themeColor="text1"/>
          <w:sz w:val="24"/>
          <w:szCs w:val="24"/>
        </w:rPr>
      </w:pPr>
      <w:r w:rsidRPr="007A5F47">
        <w:rPr>
          <w:rFonts w:ascii="Calibri" w:eastAsia="Calibri" w:hAnsi="Calibri" w:cs="Times New Roman"/>
          <w:b/>
          <w:bCs/>
          <w:color w:val="000000" w:themeColor="text1"/>
          <w:sz w:val="24"/>
          <w:szCs w:val="24"/>
        </w:rPr>
        <w:t>Related Link</w:t>
      </w:r>
    </w:p>
    <w:p w:rsidR="007A5F47" w:rsidRDefault="00491B4E" w:rsidP="007A5F47">
      <w:pPr>
        <w:spacing w:before="120" w:after="120" w:line="259" w:lineRule="auto"/>
        <w:rPr>
          <w:rFonts w:ascii="Calibri" w:eastAsia="Calibri" w:hAnsi="Calibri" w:cs="Times New Roman"/>
          <w:bCs/>
          <w:color w:val="000000" w:themeColor="text1"/>
          <w:sz w:val="24"/>
          <w:szCs w:val="24"/>
        </w:rPr>
      </w:pPr>
      <w:hyperlink r:id="rId21" w:history="1">
        <w:r w:rsidR="007A5F47" w:rsidRPr="007A5F47">
          <w:rPr>
            <w:rStyle w:val="Hyperlink"/>
            <w:rFonts w:ascii="Calibri" w:eastAsia="Calibri" w:hAnsi="Calibri"/>
            <w:sz w:val="24"/>
            <w:szCs w:val="24"/>
          </w:rPr>
          <w:t>OCC Bulletin 2018-14, “Core Lending Principles for Short-Term, Small-Dollar Installment Lending”</w:t>
        </w:r>
      </w:hyperlink>
    </w:p>
    <w:p w:rsidR="005A7FB7" w:rsidRDefault="005A7FB7" w:rsidP="007A5F47">
      <w:pPr>
        <w:spacing w:before="120" w:after="120" w:line="259" w:lineRule="auto"/>
        <w:rPr>
          <w:rFonts w:ascii="Calibri" w:eastAsia="Calibri" w:hAnsi="Calibri" w:cs="Times New Roman"/>
          <w:bCs/>
          <w:color w:val="000000"/>
          <w:sz w:val="24"/>
          <w:szCs w:val="24"/>
        </w:rPr>
      </w:pPr>
      <w:r w:rsidRPr="00482EAD">
        <w:rPr>
          <w:rFonts w:ascii="Calibri" w:eastAsia="Calibri" w:hAnsi="Calibri" w:cs="Times New Roman"/>
          <w:b/>
          <w:bCs/>
          <w:color w:val="000000"/>
          <w:sz w:val="24"/>
          <w:szCs w:val="24"/>
        </w:rPr>
        <w:t>Source</w:t>
      </w:r>
      <w:r w:rsidRPr="00CE05FF">
        <w:rPr>
          <w:rFonts w:ascii="Calibri" w:eastAsia="Calibri" w:hAnsi="Calibri" w:cs="Times New Roman"/>
          <w:bCs/>
          <w:color w:val="000000"/>
          <w:sz w:val="24"/>
          <w:szCs w:val="24"/>
        </w:rPr>
        <w:t xml:space="preserve"> </w:t>
      </w:r>
      <w:hyperlink r:id="rId22" w:history="1">
        <w:r w:rsidRPr="007A5F47">
          <w:rPr>
            <w:rStyle w:val="Hyperlink"/>
            <w:rFonts w:ascii="Calibri" w:eastAsia="Calibri" w:hAnsi="Calibri"/>
            <w:sz w:val="24"/>
            <w:szCs w:val="24"/>
          </w:rPr>
          <w:t>link</w:t>
        </w:r>
      </w:hyperlink>
      <w:r w:rsidRPr="00CE05FF">
        <w:rPr>
          <w:rFonts w:ascii="Calibri" w:eastAsia="Calibri" w:hAnsi="Calibri" w:cs="Times New Roman"/>
          <w:bCs/>
          <w:color w:val="000000"/>
          <w:sz w:val="24"/>
          <w:szCs w:val="24"/>
        </w:rPr>
        <w:t xml:space="preserve">. </w:t>
      </w:r>
    </w:p>
    <w:p w:rsidR="005A7FB7" w:rsidRDefault="005A7FB7" w:rsidP="005A7FB7">
      <w:pPr>
        <w:spacing w:before="120" w:after="120" w:line="259" w:lineRule="auto"/>
        <w:rPr>
          <w:rFonts w:ascii="Calibri" w:eastAsia="Calibri" w:hAnsi="Calibri" w:cs="Times New Roman"/>
          <w:b/>
          <w:bCs/>
          <w:i/>
          <w:color w:val="002060"/>
          <w:sz w:val="24"/>
          <w:szCs w:val="24"/>
        </w:rPr>
      </w:pPr>
      <w:r w:rsidRPr="0034584A">
        <w:rPr>
          <w:rFonts w:ascii="Calibri" w:eastAsia="Calibri" w:hAnsi="Calibri" w:cs="Times New Roman"/>
          <w:b/>
          <w:bCs/>
          <w:i/>
          <w:color w:val="002060"/>
          <w:sz w:val="24"/>
          <w:szCs w:val="24"/>
        </w:rPr>
        <w:t xml:space="preserve">Comment: </w:t>
      </w:r>
      <w:r w:rsidR="00636520">
        <w:rPr>
          <w:rFonts w:ascii="Calibri" w:eastAsia="Calibri" w:hAnsi="Calibri" w:cs="Times New Roman"/>
          <w:b/>
          <w:bCs/>
          <w:i/>
          <w:color w:val="002060"/>
          <w:sz w:val="24"/>
          <w:szCs w:val="24"/>
        </w:rPr>
        <w:t>‘</w:t>
      </w:r>
      <w:r w:rsidR="00636520" w:rsidRPr="00636520">
        <w:rPr>
          <w:rFonts w:ascii="Calibri" w:eastAsia="Calibri" w:hAnsi="Calibri" w:cs="Times New Roman"/>
          <w:b/>
          <w:bCs/>
          <w:i/>
          <w:color w:val="002060"/>
          <w:sz w:val="24"/>
          <w:szCs w:val="24"/>
        </w:rPr>
        <w:t>It’s my viewpoint that consu</w:t>
      </w:r>
      <w:r w:rsidR="00636520">
        <w:rPr>
          <w:rFonts w:ascii="Calibri" w:eastAsia="Calibri" w:hAnsi="Calibri" w:cs="Times New Roman"/>
          <w:b/>
          <w:bCs/>
          <w:i/>
          <w:color w:val="002060"/>
          <w:sz w:val="24"/>
          <w:szCs w:val="24"/>
        </w:rPr>
        <w:t>mers should have more choices,’</w:t>
      </w:r>
      <w:r w:rsidR="00636520" w:rsidRPr="00636520">
        <w:rPr>
          <w:rFonts w:ascii="Calibri" w:eastAsia="Calibri" w:hAnsi="Calibri" w:cs="Times New Roman"/>
          <w:b/>
          <w:bCs/>
          <w:i/>
          <w:color w:val="002060"/>
          <w:sz w:val="24"/>
          <w:szCs w:val="24"/>
        </w:rPr>
        <w:t xml:space="preserve"> Comptroller Joseph </w:t>
      </w:r>
      <w:proofErr w:type="spellStart"/>
      <w:r w:rsidR="00636520" w:rsidRPr="00636520">
        <w:rPr>
          <w:rFonts w:ascii="Calibri" w:eastAsia="Calibri" w:hAnsi="Calibri" w:cs="Times New Roman"/>
          <w:b/>
          <w:bCs/>
          <w:i/>
          <w:color w:val="002060"/>
          <w:sz w:val="24"/>
          <w:szCs w:val="24"/>
        </w:rPr>
        <w:t>Otting</w:t>
      </w:r>
      <w:proofErr w:type="spellEnd"/>
      <w:r w:rsidR="00636520">
        <w:rPr>
          <w:rFonts w:ascii="Calibri" w:eastAsia="Calibri" w:hAnsi="Calibri" w:cs="Times New Roman"/>
          <w:b/>
          <w:bCs/>
          <w:i/>
          <w:color w:val="002060"/>
          <w:sz w:val="24"/>
          <w:szCs w:val="24"/>
        </w:rPr>
        <w:t xml:space="preserve"> told reporters at a briefing. ‘</w:t>
      </w:r>
      <w:r w:rsidR="00636520" w:rsidRPr="00636520">
        <w:rPr>
          <w:rFonts w:ascii="Calibri" w:eastAsia="Calibri" w:hAnsi="Calibri" w:cs="Times New Roman"/>
          <w:b/>
          <w:bCs/>
          <w:i/>
          <w:color w:val="002060"/>
          <w:sz w:val="24"/>
          <w:szCs w:val="24"/>
        </w:rPr>
        <w:t>What we’re really trying to do is encourage banks to look at this segment and think about how they can offer p</w:t>
      </w:r>
      <w:r w:rsidR="00636520">
        <w:rPr>
          <w:rFonts w:ascii="Calibri" w:eastAsia="Calibri" w:hAnsi="Calibri" w:cs="Times New Roman"/>
          <w:b/>
          <w:bCs/>
          <w:i/>
          <w:color w:val="002060"/>
          <w:sz w:val="24"/>
          <w:szCs w:val="24"/>
        </w:rPr>
        <w:t>roducts in that market segment.’</w:t>
      </w:r>
      <w:r w:rsidR="00636520" w:rsidRPr="00636520">
        <w:rPr>
          <w:rFonts w:ascii="Calibri" w:eastAsia="Calibri" w:hAnsi="Calibri" w:cs="Times New Roman"/>
          <w:b/>
          <w:bCs/>
          <w:i/>
          <w:color w:val="002060"/>
          <w:sz w:val="24"/>
          <w:szCs w:val="24"/>
        </w:rPr>
        <w:t xml:space="preserve"> </w:t>
      </w:r>
      <w:r w:rsidR="00CB4E0A">
        <w:rPr>
          <w:rFonts w:ascii="Calibri" w:eastAsia="Calibri" w:hAnsi="Calibri" w:cs="Times New Roman"/>
          <w:b/>
          <w:bCs/>
          <w:i/>
          <w:color w:val="002060"/>
          <w:sz w:val="24"/>
          <w:szCs w:val="24"/>
        </w:rPr>
        <w:t xml:space="preserve">Limitations in usury laws affecting rates and fees still impose an impediment to cost effective lending in this market.  </w:t>
      </w:r>
    </w:p>
    <w:p w:rsidR="00001323" w:rsidRPr="00794938" w:rsidRDefault="00001323" w:rsidP="00001323">
      <w:pPr>
        <w:spacing w:before="120" w:after="120" w:line="259" w:lineRule="auto"/>
        <w:rPr>
          <w:rFonts w:ascii="Calibri" w:eastAsia="Calibri" w:hAnsi="Calibri" w:cs="Times New Roman"/>
          <w:b/>
          <w:bCs/>
          <w:i/>
          <w:color w:val="000000" w:themeColor="text1"/>
          <w:sz w:val="24"/>
          <w:szCs w:val="24"/>
        </w:rPr>
      </w:pPr>
      <w:r w:rsidRPr="00001323">
        <w:rPr>
          <w:rFonts w:ascii="Calibri" w:eastAsia="Calibri" w:hAnsi="Calibri" w:cs="Times New Roman"/>
          <w:b/>
          <w:bCs/>
          <w:i/>
          <w:color w:val="000000" w:themeColor="text1"/>
          <w:sz w:val="24"/>
          <w:szCs w:val="24"/>
        </w:rPr>
        <w:lastRenderedPageBreak/>
        <w:t>Core Lending Principles for Short-Term, Small-Dollar Installment Lending</w:t>
      </w:r>
      <w:r>
        <w:rPr>
          <w:rFonts w:ascii="Calibri" w:eastAsia="Calibri" w:hAnsi="Calibri" w:cs="Times New Roman"/>
          <w:b/>
          <w:bCs/>
          <w:i/>
          <w:color w:val="000000" w:themeColor="text1"/>
          <w:sz w:val="24"/>
          <w:szCs w:val="24"/>
        </w:rPr>
        <w:t xml:space="preserve"> (05.23.201</w:t>
      </w:r>
      <w:r w:rsidR="00794938">
        <w:rPr>
          <w:rFonts w:ascii="Calibri" w:eastAsia="Calibri" w:hAnsi="Calibri" w:cs="Times New Roman"/>
          <w:b/>
          <w:bCs/>
          <w:i/>
          <w:color w:val="000000" w:themeColor="text1"/>
          <w:sz w:val="24"/>
          <w:szCs w:val="24"/>
        </w:rPr>
        <w:t>8)</w:t>
      </w:r>
    </w:p>
    <w:p w:rsidR="00001323" w:rsidRPr="00001323" w:rsidRDefault="00001323" w:rsidP="00001323">
      <w:pPr>
        <w:spacing w:before="120" w:after="120" w:line="259" w:lineRule="auto"/>
        <w:rPr>
          <w:rFonts w:ascii="Calibri" w:eastAsia="Calibri" w:hAnsi="Calibri" w:cs="Times New Roman"/>
          <w:bCs/>
          <w:color w:val="000000" w:themeColor="text1"/>
          <w:sz w:val="24"/>
          <w:szCs w:val="24"/>
        </w:rPr>
      </w:pPr>
      <w:r w:rsidRPr="00001323">
        <w:rPr>
          <w:rFonts w:ascii="Calibri" w:eastAsia="Calibri" w:hAnsi="Calibri" w:cs="Times New Roman"/>
          <w:bCs/>
          <w:color w:val="000000" w:themeColor="text1"/>
          <w:sz w:val="24"/>
          <w:szCs w:val="24"/>
        </w:rPr>
        <w:t>The Office of the Comptroller of the Currency (OCC) encourages banks to offer responsible short-term, small-dollar installment loans, typically two to 12 months in duration with equal amortizing payments, to help meet the credit needs of consumers. The OCC is issuing this bulletin to remind banks1 of the core lending principles for prudently managing the risks associated with offering short-term, small-dollar installment lending programs. Banks should develop and implement these programs in a manner consistent with sound risk management practices and should align the programs with the banks’ overall business plans and strategies. Such strategies could include working with consumers who have an ability to repay a loan despite a credit profile that is outside of a bank’s typical underwriting standards for credit scores and repayment ratios. In all programs, banks should offer lending products in a manner that ensures fair access to financial services and fair treatment of consumers and complies with applicable laws and regulations. This bulletin is consistent with the OCC’s support for responsible innovation by banks to meet the evolving needs of consumers, businesses, and communities.</w:t>
      </w:r>
    </w:p>
    <w:p w:rsidR="00001323" w:rsidRPr="00001323" w:rsidRDefault="00CB4E0A" w:rsidP="00001323">
      <w:pPr>
        <w:spacing w:before="120" w:after="120" w:line="259" w:lineRule="auto"/>
        <w:rPr>
          <w:rFonts w:ascii="Calibri" w:eastAsia="Calibri" w:hAnsi="Calibri" w:cs="Times New Roman"/>
          <w:b/>
          <w:bCs/>
          <w:color w:val="000000" w:themeColor="text1"/>
          <w:sz w:val="24"/>
          <w:szCs w:val="24"/>
        </w:rPr>
      </w:pPr>
      <w:r>
        <w:rPr>
          <w:rFonts w:ascii="Calibri" w:eastAsia="Calibri" w:hAnsi="Calibri" w:cs="Times New Roman"/>
          <w:b/>
          <w:bCs/>
          <w:color w:val="000000" w:themeColor="text1"/>
          <w:sz w:val="24"/>
          <w:szCs w:val="24"/>
        </w:rPr>
        <w:t>H</w:t>
      </w:r>
      <w:r w:rsidR="00001323" w:rsidRPr="00001323">
        <w:rPr>
          <w:rFonts w:ascii="Calibri" w:eastAsia="Calibri" w:hAnsi="Calibri" w:cs="Times New Roman"/>
          <w:b/>
          <w:bCs/>
          <w:color w:val="000000" w:themeColor="text1"/>
          <w:sz w:val="24"/>
          <w:szCs w:val="24"/>
        </w:rPr>
        <w:t>ighlights</w:t>
      </w:r>
    </w:p>
    <w:p w:rsidR="00001323" w:rsidRPr="00001323" w:rsidRDefault="00001323" w:rsidP="00001323">
      <w:pPr>
        <w:spacing w:before="120" w:after="120" w:line="259" w:lineRule="auto"/>
        <w:rPr>
          <w:rFonts w:ascii="Calibri" w:eastAsia="Calibri" w:hAnsi="Calibri" w:cs="Times New Roman"/>
          <w:bCs/>
          <w:color w:val="000000" w:themeColor="text1"/>
          <w:sz w:val="24"/>
          <w:szCs w:val="24"/>
        </w:rPr>
      </w:pPr>
      <w:r w:rsidRPr="00001323">
        <w:rPr>
          <w:rFonts w:ascii="Calibri" w:eastAsia="Calibri" w:hAnsi="Calibri" w:cs="Times New Roman"/>
          <w:bCs/>
          <w:color w:val="000000" w:themeColor="text1"/>
          <w:sz w:val="24"/>
          <w:szCs w:val="24"/>
        </w:rPr>
        <w:t>The OCC encourages banks to</w:t>
      </w:r>
    </w:p>
    <w:p w:rsidR="00001323" w:rsidRPr="00C71A01" w:rsidRDefault="00001323" w:rsidP="00C71A01">
      <w:pPr>
        <w:pStyle w:val="ListParagraph"/>
        <w:numPr>
          <w:ilvl w:val="0"/>
          <w:numId w:val="35"/>
        </w:numPr>
        <w:spacing w:before="120" w:after="120" w:line="259" w:lineRule="auto"/>
        <w:rPr>
          <w:rFonts w:ascii="Calibri" w:eastAsia="Calibri" w:hAnsi="Calibri"/>
          <w:bCs/>
          <w:color w:val="000000" w:themeColor="text1"/>
        </w:rPr>
      </w:pPr>
      <w:r w:rsidRPr="00C71A01">
        <w:rPr>
          <w:rFonts w:ascii="Calibri" w:eastAsia="Calibri" w:hAnsi="Calibri"/>
          <w:bCs/>
          <w:color w:val="000000" w:themeColor="text1"/>
        </w:rPr>
        <w:t>refer to the core lending principles in this bulletin when conducting short-term, small-dollar installment lending activities.</w:t>
      </w:r>
    </w:p>
    <w:p w:rsidR="00001323" w:rsidRPr="00C71A01" w:rsidRDefault="00001323" w:rsidP="00C71A01">
      <w:pPr>
        <w:pStyle w:val="ListParagraph"/>
        <w:numPr>
          <w:ilvl w:val="0"/>
          <w:numId w:val="35"/>
        </w:numPr>
        <w:spacing w:before="120" w:after="120" w:line="259" w:lineRule="auto"/>
        <w:rPr>
          <w:rFonts w:ascii="Calibri" w:eastAsia="Calibri" w:hAnsi="Calibri"/>
          <w:bCs/>
          <w:color w:val="000000" w:themeColor="text1"/>
        </w:rPr>
      </w:pPr>
      <w:r w:rsidRPr="00C71A01">
        <w:rPr>
          <w:rFonts w:ascii="Calibri" w:eastAsia="Calibri" w:hAnsi="Calibri"/>
          <w:bCs/>
          <w:color w:val="000000" w:themeColor="text1"/>
        </w:rPr>
        <w:t>discuss plans to offer short-term, small-dollar lending products with their OCC portfolio manager, examiner-in-charge, or supervisory office before implementation, particularly if the offerings constitute substantial deviations from their existing business plans.</w:t>
      </w:r>
    </w:p>
    <w:p w:rsidR="00001323" w:rsidRDefault="00001323" w:rsidP="00001323">
      <w:pPr>
        <w:spacing w:before="120" w:after="120" w:line="259" w:lineRule="auto"/>
        <w:rPr>
          <w:rFonts w:ascii="Calibri" w:eastAsia="Calibri" w:hAnsi="Calibri" w:cs="Times New Roman"/>
          <w:bCs/>
          <w:color w:val="000000"/>
          <w:sz w:val="24"/>
          <w:szCs w:val="24"/>
        </w:rPr>
      </w:pPr>
      <w:r w:rsidRPr="00482EAD">
        <w:rPr>
          <w:rFonts w:ascii="Calibri" w:eastAsia="Calibri" w:hAnsi="Calibri" w:cs="Times New Roman"/>
          <w:b/>
          <w:bCs/>
          <w:color w:val="000000"/>
          <w:sz w:val="24"/>
          <w:szCs w:val="24"/>
        </w:rPr>
        <w:t>Source</w:t>
      </w:r>
      <w:r w:rsidRPr="00CE05FF">
        <w:rPr>
          <w:rFonts w:ascii="Calibri" w:eastAsia="Calibri" w:hAnsi="Calibri" w:cs="Times New Roman"/>
          <w:bCs/>
          <w:color w:val="000000"/>
          <w:sz w:val="24"/>
          <w:szCs w:val="24"/>
        </w:rPr>
        <w:t xml:space="preserve"> </w:t>
      </w:r>
      <w:hyperlink r:id="rId23" w:history="1">
        <w:r w:rsidRPr="00001323">
          <w:rPr>
            <w:rStyle w:val="Hyperlink"/>
            <w:rFonts w:ascii="Calibri" w:eastAsia="Calibri" w:hAnsi="Calibri"/>
            <w:sz w:val="24"/>
            <w:szCs w:val="24"/>
          </w:rPr>
          <w:t>link</w:t>
        </w:r>
      </w:hyperlink>
      <w:r w:rsidRPr="00CE05FF">
        <w:rPr>
          <w:rFonts w:ascii="Calibri" w:eastAsia="Calibri" w:hAnsi="Calibri" w:cs="Times New Roman"/>
          <w:bCs/>
          <w:color w:val="000000"/>
          <w:sz w:val="24"/>
          <w:szCs w:val="24"/>
        </w:rPr>
        <w:t xml:space="preserve">. </w:t>
      </w:r>
    </w:p>
    <w:p w:rsidR="00001323" w:rsidRPr="00A0006E" w:rsidRDefault="00001323" w:rsidP="005A7FB7">
      <w:pPr>
        <w:spacing w:before="120" w:after="120" w:line="259" w:lineRule="auto"/>
        <w:rPr>
          <w:rFonts w:ascii="Calibri" w:eastAsia="Calibri" w:hAnsi="Calibri" w:cs="Times New Roman"/>
          <w:b/>
          <w:bCs/>
          <w:i/>
          <w:color w:val="002060"/>
          <w:sz w:val="24"/>
          <w:szCs w:val="24"/>
        </w:rPr>
      </w:pPr>
      <w:r w:rsidRPr="0034584A">
        <w:rPr>
          <w:rFonts w:ascii="Calibri" w:eastAsia="Calibri" w:hAnsi="Calibri" w:cs="Times New Roman"/>
          <w:b/>
          <w:bCs/>
          <w:i/>
          <w:color w:val="002060"/>
          <w:sz w:val="24"/>
          <w:szCs w:val="24"/>
        </w:rPr>
        <w:t xml:space="preserve">Comment: </w:t>
      </w:r>
      <w:r w:rsidR="00CB33C4" w:rsidRPr="00CB33C4">
        <w:rPr>
          <w:rFonts w:ascii="Calibri" w:eastAsia="Calibri" w:hAnsi="Calibri" w:cs="Times New Roman"/>
          <w:b/>
          <w:bCs/>
          <w:i/>
          <w:color w:val="002060"/>
          <w:sz w:val="24"/>
          <w:szCs w:val="24"/>
        </w:rPr>
        <w:t xml:space="preserve">The three-page bulletin from the OCC does not alter any existing regulations. </w:t>
      </w:r>
    </w:p>
    <w:p w:rsidR="00063F3D" w:rsidRPr="00BD6CD0" w:rsidRDefault="00063F3D" w:rsidP="00063F3D">
      <w:pPr>
        <w:pStyle w:val="CCTOCHeading"/>
        <w:spacing w:line="259" w:lineRule="auto"/>
        <w:rPr>
          <w:rFonts w:cstheme="minorHAnsi"/>
        </w:rPr>
      </w:pPr>
      <w:bookmarkStart w:id="32" w:name="_Toc517254834"/>
      <w:bookmarkEnd w:id="30"/>
      <w:r>
        <w:rPr>
          <w:rFonts w:cstheme="minorHAnsi"/>
        </w:rPr>
        <w:t>Federal Reserve actions</w:t>
      </w:r>
      <w:r w:rsidRPr="000C7C83">
        <w:rPr>
          <w:rFonts w:cstheme="minorHAnsi"/>
        </w:rPr>
        <w:t xml:space="preserve"> </w:t>
      </w:r>
      <w:bookmarkStart w:id="33" w:name="_Hlk509301082"/>
      <w:r w:rsidRPr="000C7C83">
        <w:rPr>
          <w:rFonts w:cstheme="minorHAnsi"/>
        </w:rPr>
        <w:t>and news</w:t>
      </w:r>
      <w:bookmarkStart w:id="34" w:name="_Hlk508886425"/>
      <w:bookmarkEnd w:id="33"/>
      <w:bookmarkEnd w:id="32"/>
    </w:p>
    <w:p w:rsidR="00593812" w:rsidRPr="00CB33C4" w:rsidRDefault="00593812" w:rsidP="00593812">
      <w:pPr>
        <w:spacing w:before="120" w:after="120" w:line="259" w:lineRule="auto"/>
        <w:rPr>
          <w:rFonts w:ascii="Calibri" w:eastAsia="Calibri" w:hAnsi="Calibri" w:cs="Times New Roman"/>
          <w:b/>
          <w:bCs/>
          <w:i/>
          <w:color w:val="000000" w:themeColor="text1"/>
          <w:sz w:val="24"/>
          <w:szCs w:val="24"/>
        </w:rPr>
      </w:pPr>
      <w:bookmarkStart w:id="35" w:name="_Hlk517091907"/>
      <w:bookmarkStart w:id="36" w:name="_Hlk514920407"/>
      <w:bookmarkEnd w:id="31"/>
      <w:bookmarkEnd w:id="34"/>
      <w:r w:rsidRPr="00CB33C4">
        <w:rPr>
          <w:rFonts w:ascii="Calibri" w:eastAsia="Calibri" w:hAnsi="Calibri" w:cs="Times New Roman"/>
          <w:b/>
          <w:bCs/>
          <w:i/>
          <w:color w:val="000000" w:themeColor="text1"/>
          <w:sz w:val="24"/>
          <w:szCs w:val="24"/>
        </w:rPr>
        <w:t xml:space="preserve">Statistical Release </w:t>
      </w:r>
      <w:r w:rsidR="008A3545" w:rsidRPr="00CB33C4">
        <w:rPr>
          <w:rFonts w:ascii="Calibri" w:eastAsia="Calibri" w:hAnsi="Calibri" w:cs="Times New Roman"/>
          <w:b/>
          <w:bCs/>
          <w:i/>
          <w:color w:val="000000" w:themeColor="text1"/>
          <w:sz w:val="24"/>
          <w:szCs w:val="24"/>
        </w:rPr>
        <w:t>–</w:t>
      </w:r>
      <w:r w:rsidRPr="00CB33C4">
        <w:rPr>
          <w:rFonts w:ascii="Calibri" w:eastAsia="Calibri" w:hAnsi="Calibri" w:cs="Times New Roman"/>
          <w:b/>
          <w:bCs/>
          <w:i/>
          <w:color w:val="000000" w:themeColor="text1"/>
          <w:sz w:val="24"/>
          <w:szCs w:val="24"/>
        </w:rPr>
        <w:t xml:space="preserve"> </w:t>
      </w:r>
      <w:r w:rsidR="008A3545" w:rsidRPr="00CB33C4">
        <w:rPr>
          <w:rFonts w:ascii="Calibri" w:eastAsia="Calibri" w:hAnsi="Calibri" w:cs="Times New Roman"/>
          <w:b/>
          <w:bCs/>
          <w:i/>
          <w:color w:val="000000" w:themeColor="text1"/>
          <w:sz w:val="24"/>
          <w:szCs w:val="24"/>
        </w:rPr>
        <w:t>Mortgage Debt Outstanding</w:t>
      </w:r>
      <w:r w:rsidRPr="00CB33C4">
        <w:rPr>
          <w:rFonts w:ascii="Calibri" w:eastAsia="Calibri" w:hAnsi="Calibri" w:cs="Times New Roman"/>
          <w:b/>
          <w:bCs/>
          <w:i/>
          <w:color w:val="000000" w:themeColor="text1"/>
          <w:sz w:val="24"/>
          <w:szCs w:val="24"/>
        </w:rPr>
        <w:t xml:space="preserve"> (</w:t>
      </w:r>
      <w:r w:rsidR="008A3545" w:rsidRPr="00CB33C4">
        <w:rPr>
          <w:rFonts w:ascii="Calibri" w:eastAsia="Calibri" w:hAnsi="Calibri" w:cs="Times New Roman"/>
          <w:b/>
          <w:bCs/>
          <w:i/>
          <w:color w:val="000000" w:themeColor="text1"/>
          <w:sz w:val="24"/>
          <w:szCs w:val="24"/>
        </w:rPr>
        <w:t>06</w:t>
      </w:r>
      <w:r w:rsidRPr="00CB33C4">
        <w:rPr>
          <w:rFonts w:ascii="Calibri" w:eastAsia="Calibri" w:hAnsi="Calibri" w:cs="Times New Roman"/>
          <w:b/>
          <w:bCs/>
          <w:i/>
          <w:color w:val="000000" w:themeColor="text1"/>
          <w:sz w:val="24"/>
          <w:szCs w:val="24"/>
        </w:rPr>
        <w:t>.</w:t>
      </w:r>
      <w:r w:rsidR="008A3545" w:rsidRPr="00CB33C4">
        <w:rPr>
          <w:rFonts w:ascii="Calibri" w:eastAsia="Calibri" w:hAnsi="Calibri" w:cs="Times New Roman"/>
          <w:b/>
          <w:bCs/>
          <w:i/>
          <w:color w:val="000000" w:themeColor="text1"/>
          <w:sz w:val="24"/>
          <w:szCs w:val="24"/>
        </w:rPr>
        <w:t>07</w:t>
      </w:r>
      <w:r w:rsidR="00CB33C4" w:rsidRPr="00CB33C4">
        <w:rPr>
          <w:rFonts w:ascii="Calibri" w:eastAsia="Calibri" w:hAnsi="Calibri" w:cs="Times New Roman"/>
          <w:b/>
          <w:bCs/>
          <w:i/>
          <w:color w:val="000000" w:themeColor="text1"/>
          <w:sz w:val="24"/>
          <w:szCs w:val="24"/>
        </w:rPr>
        <w:t>.2018)</w:t>
      </w:r>
    </w:p>
    <w:p w:rsidR="00593812" w:rsidRPr="00CB33C4" w:rsidRDefault="00593812" w:rsidP="00593812">
      <w:pPr>
        <w:spacing w:before="120" w:after="120" w:line="259" w:lineRule="auto"/>
        <w:rPr>
          <w:rFonts w:ascii="Calibri" w:eastAsia="Calibri" w:hAnsi="Calibri" w:cs="Times New Roman"/>
          <w:bCs/>
          <w:color w:val="000000"/>
          <w:sz w:val="24"/>
          <w:szCs w:val="24"/>
        </w:rPr>
      </w:pPr>
      <w:r w:rsidRPr="00CB33C4">
        <w:rPr>
          <w:rFonts w:ascii="Calibri" w:eastAsia="Calibri" w:hAnsi="Calibri" w:cs="Times New Roman"/>
          <w:b/>
          <w:bCs/>
          <w:color w:val="000000"/>
          <w:sz w:val="24"/>
          <w:szCs w:val="24"/>
        </w:rPr>
        <w:t>Source</w:t>
      </w:r>
      <w:r w:rsidRPr="00CB33C4">
        <w:rPr>
          <w:rFonts w:ascii="Calibri" w:eastAsia="Calibri" w:hAnsi="Calibri" w:cs="Times New Roman"/>
          <w:bCs/>
          <w:color w:val="000000"/>
          <w:sz w:val="24"/>
          <w:szCs w:val="24"/>
        </w:rPr>
        <w:t xml:space="preserve"> </w:t>
      </w:r>
      <w:hyperlink r:id="rId24" w:history="1">
        <w:r w:rsidRPr="00CB33C4">
          <w:rPr>
            <w:rStyle w:val="Hyperlink"/>
            <w:rFonts w:ascii="Calibri" w:eastAsia="Calibri" w:hAnsi="Calibri"/>
            <w:sz w:val="24"/>
            <w:szCs w:val="24"/>
          </w:rPr>
          <w:t>link</w:t>
        </w:r>
      </w:hyperlink>
      <w:r w:rsidRPr="00CB33C4">
        <w:rPr>
          <w:rFonts w:ascii="Calibri" w:eastAsia="Calibri" w:hAnsi="Calibri" w:cs="Times New Roman"/>
          <w:bCs/>
          <w:color w:val="000000"/>
          <w:sz w:val="24"/>
          <w:szCs w:val="24"/>
        </w:rPr>
        <w:t xml:space="preserve">. </w:t>
      </w:r>
    </w:p>
    <w:p w:rsidR="00593812" w:rsidRDefault="00593812" w:rsidP="005A7FB7">
      <w:pPr>
        <w:spacing w:before="120" w:after="120" w:line="259" w:lineRule="auto"/>
        <w:rPr>
          <w:rFonts w:ascii="Calibri" w:eastAsia="Calibri" w:hAnsi="Calibri" w:cs="Times New Roman"/>
          <w:b/>
          <w:bCs/>
          <w:i/>
          <w:color w:val="000000" w:themeColor="text1"/>
          <w:sz w:val="24"/>
          <w:szCs w:val="24"/>
        </w:rPr>
      </w:pPr>
    </w:p>
    <w:p w:rsidR="005A7FB7" w:rsidRPr="00CB33C4" w:rsidRDefault="005047EF" w:rsidP="005A7FB7">
      <w:pPr>
        <w:spacing w:before="120" w:after="120" w:line="259" w:lineRule="auto"/>
        <w:rPr>
          <w:rFonts w:ascii="Calibri" w:eastAsia="Calibri" w:hAnsi="Calibri" w:cs="Times New Roman"/>
          <w:b/>
          <w:bCs/>
          <w:i/>
          <w:color w:val="000000" w:themeColor="text1"/>
          <w:sz w:val="24"/>
          <w:szCs w:val="24"/>
        </w:rPr>
      </w:pPr>
      <w:r w:rsidRPr="00CB33C4">
        <w:rPr>
          <w:rFonts w:ascii="Calibri" w:eastAsia="Calibri" w:hAnsi="Calibri" w:cs="Times New Roman"/>
          <w:b/>
          <w:bCs/>
          <w:i/>
          <w:color w:val="000000" w:themeColor="text1"/>
          <w:sz w:val="24"/>
          <w:szCs w:val="24"/>
        </w:rPr>
        <w:t>Statistical Release - Charge-off and Delinquency Rates on Loans and Leases at Commercial Banks (05.22.2018)</w:t>
      </w:r>
    </w:p>
    <w:p w:rsidR="005A7FB7" w:rsidRPr="00CB33C4" w:rsidRDefault="005A7FB7" w:rsidP="005A7FB7">
      <w:pPr>
        <w:spacing w:before="120" w:after="120" w:line="259" w:lineRule="auto"/>
        <w:rPr>
          <w:rFonts w:ascii="Calibri" w:eastAsia="Calibri" w:hAnsi="Calibri" w:cs="Times New Roman"/>
          <w:bCs/>
          <w:color w:val="000000"/>
          <w:sz w:val="24"/>
          <w:szCs w:val="24"/>
        </w:rPr>
      </w:pPr>
      <w:r w:rsidRPr="00CB33C4">
        <w:rPr>
          <w:rFonts w:ascii="Calibri" w:eastAsia="Calibri" w:hAnsi="Calibri" w:cs="Times New Roman"/>
          <w:b/>
          <w:bCs/>
          <w:color w:val="000000"/>
          <w:sz w:val="24"/>
          <w:szCs w:val="24"/>
        </w:rPr>
        <w:t>Source</w:t>
      </w:r>
      <w:r w:rsidRPr="00CB33C4">
        <w:rPr>
          <w:rFonts w:ascii="Calibri" w:eastAsia="Calibri" w:hAnsi="Calibri" w:cs="Times New Roman"/>
          <w:bCs/>
          <w:color w:val="000000"/>
          <w:sz w:val="24"/>
          <w:szCs w:val="24"/>
        </w:rPr>
        <w:t xml:space="preserve"> </w:t>
      </w:r>
      <w:hyperlink r:id="rId25" w:history="1">
        <w:r w:rsidRPr="00CB33C4">
          <w:rPr>
            <w:rStyle w:val="Hyperlink"/>
            <w:rFonts w:ascii="Calibri" w:eastAsia="Calibri" w:hAnsi="Calibri"/>
            <w:sz w:val="24"/>
            <w:szCs w:val="24"/>
          </w:rPr>
          <w:t>link</w:t>
        </w:r>
      </w:hyperlink>
      <w:r w:rsidRPr="00CB33C4">
        <w:rPr>
          <w:rFonts w:ascii="Calibri" w:eastAsia="Calibri" w:hAnsi="Calibri" w:cs="Times New Roman"/>
          <w:bCs/>
          <w:color w:val="000000"/>
          <w:sz w:val="24"/>
          <w:szCs w:val="24"/>
        </w:rPr>
        <w:t xml:space="preserve">. </w:t>
      </w:r>
    </w:p>
    <w:p w:rsidR="00063F3D" w:rsidRPr="00436AD8" w:rsidRDefault="00063F3D" w:rsidP="00063F3D">
      <w:pPr>
        <w:pStyle w:val="CCTOCHeading"/>
        <w:spacing w:line="259" w:lineRule="auto"/>
        <w:rPr>
          <w:rFonts w:asciiTheme="minorHAnsi" w:hAnsiTheme="minorHAnsi" w:cstheme="minorHAnsi"/>
        </w:rPr>
      </w:pPr>
      <w:bookmarkStart w:id="37" w:name="_Toc517254835"/>
      <w:bookmarkEnd w:id="35"/>
      <w:r w:rsidRPr="00436AD8">
        <w:rPr>
          <w:rFonts w:asciiTheme="minorHAnsi" w:hAnsiTheme="minorHAnsi" w:cstheme="minorHAnsi"/>
        </w:rPr>
        <w:t>Other federal action and news</w:t>
      </w:r>
      <w:bookmarkEnd w:id="27"/>
      <w:bookmarkEnd w:id="28"/>
      <w:bookmarkEnd w:id="37"/>
    </w:p>
    <w:p w:rsidR="005A7FB7" w:rsidRPr="00CE05FF" w:rsidRDefault="00CB44CA" w:rsidP="005A7FB7">
      <w:pPr>
        <w:spacing w:before="120" w:after="120" w:line="259" w:lineRule="auto"/>
        <w:rPr>
          <w:rFonts w:ascii="Calibri" w:eastAsia="Calibri" w:hAnsi="Calibri" w:cs="Times New Roman"/>
          <w:b/>
          <w:bCs/>
          <w:i/>
          <w:color w:val="000000" w:themeColor="text1"/>
          <w:sz w:val="24"/>
          <w:szCs w:val="24"/>
        </w:rPr>
      </w:pPr>
      <w:bookmarkStart w:id="38" w:name="_Toc504138797"/>
      <w:bookmarkEnd w:id="29"/>
      <w:bookmarkEnd w:id="36"/>
      <w:r>
        <w:rPr>
          <w:rFonts w:ascii="Calibri" w:eastAsia="Calibri" w:hAnsi="Calibri" w:cs="Times New Roman"/>
          <w:b/>
          <w:bCs/>
          <w:i/>
          <w:color w:val="000000" w:themeColor="text1"/>
          <w:sz w:val="24"/>
          <w:szCs w:val="24"/>
        </w:rPr>
        <w:t xml:space="preserve">FinCEN Issues </w:t>
      </w:r>
      <w:r w:rsidRPr="00CB44CA">
        <w:rPr>
          <w:rFonts w:ascii="Calibri" w:eastAsia="Calibri" w:hAnsi="Calibri" w:cs="Times New Roman"/>
          <w:b/>
          <w:bCs/>
          <w:i/>
          <w:color w:val="000000" w:themeColor="text1"/>
          <w:sz w:val="24"/>
          <w:szCs w:val="24"/>
        </w:rPr>
        <w:t>Advisory on Human Rights Abuses Enabled by Corrupt Senior Foreign Political Figures and their Financial Facilitators</w:t>
      </w:r>
      <w:r>
        <w:rPr>
          <w:rFonts w:ascii="Calibri" w:eastAsia="Calibri" w:hAnsi="Calibri" w:cs="Times New Roman"/>
          <w:b/>
          <w:bCs/>
          <w:i/>
          <w:color w:val="000000" w:themeColor="text1"/>
          <w:sz w:val="24"/>
          <w:szCs w:val="24"/>
        </w:rPr>
        <w:t xml:space="preserve"> (06.12.2018)</w:t>
      </w:r>
    </w:p>
    <w:p w:rsidR="00CB44CA" w:rsidRDefault="00CB44CA" w:rsidP="005A7FB7">
      <w:pPr>
        <w:spacing w:before="120" w:after="120" w:line="259" w:lineRule="auto"/>
        <w:rPr>
          <w:rFonts w:ascii="Calibri" w:eastAsia="Calibri" w:hAnsi="Calibri" w:cs="Times New Roman"/>
          <w:bCs/>
          <w:color w:val="000000" w:themeColor="text1"/>
          <w:sz w:val="24"/>
          <w:szCs w:val="24"/>
        </w:rPr>
      </w:pPr>
      <w:r w:rsidRPr="00CB44CA">
        <w:rPr>
          <w:rFonts w:ascii="Calibri" w:eastAsia="Calibri" w:hAnsi="Calibri" w:cs="Times New Roman"/>
          <w:bCs/>
          <w:color w:val="000000" w:themeColor="text1"/>
          <w:sz w:val="24"/>
          <w:szCs w:val="24"/>
        </w:rPr>
        <w:t xml:space="preserve">The U.S. Department of the Treasury (Treasury) is committed to protecting both the U.S. and international financial systems, not only from those who engage in corruption and human rights abuses, but from those who facilitate such activities as well. High-level political corruption undermines democratic institutions and </w:t>
      </w:r>
      <w:r w:rsidRPr="00CB44CA">
        <w:rPr>
          <w:rFonts w:ascii="Calibri" w:eastAsia="Calibri" w:hAnsi="Calibri" w:cs="Times New Roman"/>
          <w:bCs/>
          <w:color w:val="000000" w:themeColor="text1"/>
          <w:sz w:val="24"/>
          <w:szCs w:val="24"/>
        </w:rPr>
        <w:lastRenderedPageBreak/>
        <w:t>public trust, damages economic growth, and fosters a climate where financial crime and other forms of lawlessness can thrive. Corrupt senior foreign political figures, their subordinates and facilitators, through their corrupt actions, often contribute directly or indirectly to human rights abuses, which have a devastating impact on individual citizens and societies, undermining markets and economic development and creating instability in a region. The use of financial facilitators is one way that corrupt senior foreign political figures access the</w:t>
      </w:r>
      <w:r w:rsidRPr="00CB44CA">
        <w:t xml:space="preserve"> </w:t>
      </w:r>
      <w:r w:rsidRPr="00CB44CA">
        <w:rPr>
          <w:rFonts w:ascii="Calibri" w:eastAsia="Calibri" w:hAnsi="Calibri" w:cs="Times New Roman"/>
          <w:bCs/>
          <w:color w:val="000000" w:themeColor="text1"/>
          <w:sz w:val="24"/>
          <w:szCs w:val="24"/>
        </w:rPr>
        <w:t>U.S. and international financial system to move or hide illicit proceeds, evade U.S. and global sanctions, or otherwise engage in illegal activity, including related human rights abuses.</w:t>
      </w:r>
    </w:p>
    <w:p w:rsidR="005A7FB7" w:rsidRDefault="005A7FB7" w:rsidP="005A7FB7">
      <w:pPr>
        <w:spacing w:before="120" w:after="120" w:line="259" w:lineRule="auto"/>
        <w:rPr>
          <w:rFonts w:ascii="Calibri" w:eastAsia="Calibri" w:hAnsi="Calibri" w:cs="Times New Roman"/>
          <w:bCs/>
          <w:color w:val="000000"/>
          <w:sz w:val="24"/>
          <w:szCs w:val="24"/>
        </w:rPr>
      </w:pPr>
      <w:r w:rsidRPr="00482EAD">
        <w:rPr>
          <w:rFonts w:ascii="Calibri" w:eastAsia="Calibri" w:hAnsi="Calibri" w:cs="Times New Roman"/>
          <w:b/>
          <w:bCs/>
          <w:color w:val="000000"/>
          <w:sz w:val="24"/>
          <w:szCs w:val="24"/>
        </w:rPr>
        <w:t>Source</w:t>
      </w:r>
      <w:r w:rsidRPr="00CE05FF">
        <w:rPr>
          <w:rFonts w:ascii="Calibri" w:eastAsia="Calibri" w:hAnsi="Calibri" w:cs="Times New Roman"/>
          <w:bCs/>
          <w:color w:val="000000"/>
          <w:sz w:val="24"/>
          <w:szCs w:val="24"/>
        </w:rPr>
        <w:t xml:space="preserve"> </w:t>
      </w:r>
      <w:hyperlink r:id="rId26" w:history="1">
        <w:r w:rsidRPr="00CB44CA">
          <w:rPr>
            <w:rStyle w:val="Hyperlink"/>
            <w:rFonts w:ascii="Calibri" w:eastAsia="Calibri" w:hAnsi="Calibri"/>
            <w:sz w:val="24"/>
            <w:szCs w:val="24"/>
          </w:rPr>
          <w:t>link</w:t>
        </w:r>
      </w:hyperlink>
      <w:r w:rsidRPr="00CE05FF">
        <w:rPr>
          <w:rFonts w:ascii="Calibri" w:eastAsia="Calibri" w:hAnsi="Calibri" w:cs="Times New Roman"/>
          <w:bCs/>
          <w:color w:val="000000"/>
          <w:sz w:val="24"/>
          <w:szCs w:val="24"/>
        </w:rPr>
        <w:t xml:space="preserve">. </w:t>
      </w:r>
    </w:p>
    <w:p w:rsidR="005A7FB7" w:rsidRPr="00482EAD" w:rsidRDefault="005A7FB7" w:rsidP="005A7FB7">
      <w:pPr>
        <w:spacing w:before="120" w:after="120" w:line="259" w:lineRule="auto"/>
        <w:rPr>
          <w:rFonts w:ascii="Calibri" w:eastAsia="Calibri" w:hAnsi="Calibri" w:cs="Times New Roman"/>
          <w:b/>
          <w:bCs/>
          <w:i/>
          <w:color w:val="000000"/>
          <w:sz w:val="24"/>
          <w:szCs w:val="24"/>
        </w:rPr>
      </w:pPr>
      <w:r w:rsidRPr="0034584A">
        <w:rPr>
          <w:rFonts w:ascii="Calibri" w:eastAsia="Calibri" w:hAnsi="Calibri" w:cs="Times New Roman"/>
          <w:b/>
          <w:bCs/>
          <w:i/>
          <w:color w:val="002060"/>
          <w:sz w:val="24"/>
          <w:szCs w:val="24"/>
        </w:rPr>
        <w:t xml:space="preserve">Comment: </w:t>
      </w:r>
      <w:r w:rsidR="00CB33C4" w:rsidRPr="00CB33C4">
        <w:rPr>
          <w:rFonts w:ascii="Calibri" w:eastAsia="Calibri" w:hAnsi="Calibri" w:cs="Times New Roman"/>
          <w:b/>
          <w:bCs/>
          <w:i/>
          <w:color w:val="002060"/>
          <w:sz w:val="24"/>
          <w:szCs w:val="24"/>
        </w:rPr>
        <w:t xml:space="preserve">The Advisory provides examples of potential red flags to aid </w:t>
      </w:r>
      <w:r w:rsidR="00CB33C4">
        <w:rPr>
          <w:rFonts w:ascii="Calibri" w:eastAsia="Calibri" w:hAnsi="Calibri" w:cs="Times New Roman"/>
          <w:b/>
          <w:bCs/>
          <w:i/>
          <w:color w:val="002060"/>
          <w:sz w:val="24"/>
          <w:szCs w:val="24"/>
        </w:rPr>
        <w:t>banks</w:t>
      </w:r>
      <w:r w:rsidR="00CB33C4" w:rsidRPr="00CB33C4">
        <w:rPr>
          <w:rFonts w:ascii="Calibri" w:eastAsia="Calibri" w:hAnsi="Calibri" w:cs="Times New Roman"/>
          <w:b/>
          <w:bCs/>
          <w:i/>
          <w:color w:val="002060"/>
          <w:sz w:val="24"/>
          <w:szCs w:val="24"/>
        </w:rPr>
        <w:t xml:space="preserve"> in identifying </w:t>
      </w:r>
      <w:proofErr w:type="gramStart"/>
      <w:r w:rsidR="00CB33C4" w:rsidRPr="00CB33C4">
        <w:rPr>
          <w:rFonts w:ascii="Calibri" w:eastAsia="Calibri" w:hAnsi="Calibri" w:cs="Times New Roman"/>
          <w:b/>
          <w:bCs/>
          <w:i/>
          <w:color w:val="002060"/>
          <w:sz w:val="24"/>
          <w:szCs w:val="24"/>
        </w:rPr>
        <w:t>the means by which</w:t>
      </w:r>
      <w:proofErr w:type="gramEnd"/>
      <w:r w:rsidR="00CB33C4" w:rsidRPr="00CB33C4">
        <w:rPr>
          <w:rFonts w:ascii="Calibri" w:eastAsia="Calibri" w:hAnsi="Calibri" w:cs="Times New Roman"/>
          <w:b/>
          <w:bCs/>
          <w:i/>
          <w:color w:val="002060"/>
          <w:sz w:val="24"/>
          <w:szCs w:val="24"/>
        </w:rPr>
        <w:t xml:space="preserve"> corrupt political figures and their facilitators may move and hide proceeds from their corrupt activities – activities which, directly or indirectly, contribute to human rights abuses and other illegal activity. </w:t>
      </w:r>
      <w:r w:rsidR="00CB4E0A">
        <w:rPr>
          <w:rFonts w:ascii="Calibri" w:eastAsia="Calibri" w:hAnsi="Calibri" w:cs="Times New Roman"/>
          <w:b/>
          <w:bCs/>
          <w:i/>
          <w:color w:val="002060"/>
          <w:sz w:val="24"/>
          <w:szCs w:val="24"/>
        </w:rPr>
        <w:t>Be sure that your BSA/AML program adequately addresses these concerns.</w:t>
      </w:r>
    </w:p>
    <w:p w:rsidR="005A7FB7" w:rsidRDefault="005A7FB7" w:rsidP="005A7FB7">
      <w:pPr>
        <w:spacing w:before="120" w:after="120" w:line="259" w:lineRule="auto"/>
        <w:rPr>
          <w:rFonts w:ascii="Calibri" w:eastAsia="Calibri" w:hAnsi="Calibri" w:cs="Times New Roman"/>
          <w:b/>
          <w:i/>
          <w:color w:val="002060"/>
          <w:sz w:val="24"/>
          <w:szCs w:val="24"/>
        </w:rPr>
      </w:pPr>
    </w:p>
    <w:p w:rsidR="00256A15" w:rsidRDefault="00256A15" w:rsidP="005A7FB7">
      <w:pPr>
        <w:spacing w:before="120" w:after="120" w:line="259" w:lineRule="auto"/>
        <w:rPr>
          <w:rFonts w:ascii="Calibri" w:eastAsia="Calibri" w:hAnsi="Calibri" w:cs="Times New Roman"/>
          <w:b/>
          <w:bCs/>
          <w:i/>
          <w:color w:val="000000" w:themeColor="text1"/>
          <w:sz w:val="24"/>
          <w:szCs w:val="24"/>
        </w:rPr>
      </w:pPr>
      <w:r>
        <w:rPr>
          <w:rFonts w:ascii="Calibri" w:eastAsia="Calibri" w:hAnsi="Calibri" w:cs="Times New Roman"/>
          <w:b/>
          <w:bCs/>
          <w:i/>
          <w:color w:val="000000" w:themeColor="text1"/>
          <w:sz w:val="24"/>
          <w:szCs w:val="24"/>
        </w:rPr>
        <w:t xml:space="preserve">Department of Justice - </w:t>
      </w:r>
      <w:r w:rsidRPr="00256A15">
        <w:rPr>
          <w:rFonts w:ascii="Calibri" w:eastAsia="Calibri" w:hAnsi="Calibri" w:cs="Times New Roman"/>
          <w:b/>
          <w:bCs/>
          <w:i/>
          <w:color w:val="000000" w:themeColor="text1"/>
          <w:sz w:val="24"/>
          <w:szCs w:val="24"/>
        </w:rPr>
        <w:t xml:space="preserve">74 Arrested in Coordinated International Enforcement Operation Targeting Hundreds of Individuals in Business Email Compromise Schemes </w:t>
      </w:r>
      <w:r>
        <w:rPr>
          <w:rFonts w:ascii="Calibri" w:eastAsia="Calibri" w:hAnsi="Calibri" w:cs="Times New Roman"/>
          <w:b/>
          <w:bCs/>
          <w:i/>
          <w:color w:val="000000" w:themeColor="text1"/>
          <w:sz w:val="24"/>
          <w:szCs w:val="24"/>
        </w:rPr>
        <w:t>(06.11.2018)</w:t>
      </w:r>
    </w:p>
    <w:p w:rsidR="00256A15" w:rsidRPr="00256A15" w:rsidRDefault="00256A15" w:rsidP="00256A15">
      <w:pPr>
        <w:spacing w:before="120" w:after="120" w:line="259" w:lineRule="auto"/>
        <w:rPr>
          <w:rFonts w:ascii="Calibri" w:eastAsia="Calibri" w:hAnsi="Calibri" w:cs="Times New Roman"/>
          <w:bCs/>
          <w:color w:val="000000" w:themeColor="text1"/>
          <w:sz w:val="24"/>
          <w:szCs w:val="24"/>
        </w:rPr>
      </w:pPr>
      <w:r w:rsidRPr="00256A15">
        <w:rPr>
          <w:rFonts w:ascii="Calibri" w:eastAsia="Calibri" w:hAnsi="Calibri" w:cs="Times New Roman"/>
          <w:bCs/>
          <w:color w:val="000000" w:themeColor="text1"/>
          <w:sz w:val="24"/>
          <w:szCs w:val="24"/>
        </w:rPr>
        <w:t xml:space="preserve">Federal authorities announced today a significant coordinated effort to disrupt Business Email Compromise (BEC) schemes that are designed to intercept and hijack wire transfers from businesses and individuals, including many senior citizens.  Operation Wire </w:t>
      </w:r>
      <w:proofErr w:type="spellStart"/>
      <w:r w:rsidRPr="00256A15">
        <w:rPr>
          <w:rFonts w:ascii="Calibri" w:eastAsia="Calibri" w:hAnsi="Calibri" w:cs="Times New Roman"/>
          <w:bCs/>
          <w:color w:val="000000" w:themeColor="text1"/>
          <w:sz w:val="24"/>
          <w:szCs w:val="24"/>
        </w:rPr>
        <w:t>Wire</w:t>
      </w:r>
      <w:proofErr w:type="spellEnd"/>
      <w:r w:rsidRPr="00256A15">
        <w:rPr>
          <w:rFonts w:ascii="Calibri" w:eastAsia="Calibri" w:hAnsi="Calibri" w:cs="Times New Roman"/>
          <w:bCs/>
          <w:color w:val="000000" w:themeColor="text1"/>
          <w:sz w:val="24"/>
          <w:szCs w:val="24"/>
        </w:rPr>
        <w:t xml:space="preserve">, a coordinated law enforcement effort by the U.S. Department of Justice, U.S. Department of Homeland Security, U.S. Department of the Treasury and the U.S. Postal Inspection Service, was conducted over a </w:t>
      </w:r>
      <w:proofErr w:type="gramStart"/>
      <w:r w:rsidRPr="00256A15">
        <w:rPr>
          <w:rFonts w:ascii="Calibri" w:eastAsia="Calibri" w:hAnsi="Calibri" w:cs="Times New Roman"/>
          <w:bCs/>
          <w:color w:val="000000" w:themeColor="text1"/>
          <w:sz w:val="24"/>
          <w:szCs w:val="24"/>
        </w:rPr>
        <w:t>six month</w:t>
      </w:r>
      <w:proofErr w:type="gramEnd"/>
      <w:r w:rsidRPr="00256A15">
        <w:rPr>
          <w:rFonts w:ascii="Calibri" w:eastAsia="Calibri" w:hAnsi="Calibri" w:cs="Times New Roman"/>
          <w:bCs/>
          <w:color w:val="000000" w:themeColor="text1"/>
          <w:sz w:val="24"/>
          <w:szCs w:val="24"/>
        </w:rPr>
        <w:t xml:space="preserve"> period, culminating in over two weeks of intensified law enforcement activity resulting in 74 arrests in the United States and overseas, including 29 in Nigeria, and three in Canada, Mauritius and Poland.  The operation also resulted in the seizure of nearly $2.4 million, and the disruption and recovery of approximately $14 million in fraudulent wire transfers.</w:t>
      </w:r>
    </w:p>
    <w:p w:rsidR="005A7FB7" w:rsidRPr="00FE59A7" w:rsidRDefault="00256A15" w:rsidP="00256A15">
      <w:pPr>
        <w:spacing w:before="120" w:after="120" w:line="259" w:lineRule="auto"/>
        <w:rPr>
          <w:rFonts w:ascii="Calibri" w:eastAsia="Calibri" w:hAnsi="Calibri" w:cs="Times New Roman"/>
          <w:bCs/>
          <w:color w:val="000000" w:themeColor="text1"/>
          <w:sz w:val="24"/>
          <w:szCs w:val="24"/>
        </w:rPr>
      </w:pPr>
      <w:r w:rsidRPr="00256A15">
        <w:rPr>
          <w:rFonts w:ascii="Calibri" w:eastAsia="Calibri" w:hAnsi="Calibri" w:cs="Times New Roman"/>
          <w:bCs/>
          <w:color w:val="000000" w:themeColor="text1"/>
          <w:sz w:val="24"/>
          <w:szCs w:val="24"/>
        </w:rPr>
        <w:t>BEC, also known as “cyber-enabled financial fraud,” is a sophisticated scam often targeting employees with access to company finances and businesses working with foreign suppliers and/or businesses that regularly perform wire transfer payments.  The same criminal organizations that perpetrate BEC also exploit individual victims, often real estate purchasers, the elderly, and others, by convincing them to make wire transfers to bank accounts controlled by the criminals. This is often accomplished by impersonating a key employee or business partner after obtaining access to that person’s email account or sometimes done through romance and lottery scams.  BEC scams may involve fraudulent requests for checks rather than wire transfers; they may target sensitive information such as personally identifiable information (PII) or employee tax records instead of, or in addition to, money; and they may not involve an actual “compromise” of an email account or computer network.  Foreign citizens perpetrate many BEC scams.  Those individuals are often members of transnational criminal organizations, which originated in Nigeria but have spread throughout the world.</w:t>
      </w:r>
    </w:p>
    <w:p w:rsidR="005A7FB7" w:rsidRDefault="005A7FB7" w:rsidP="005A7FB7">
      <w:pPr>
        <w:spacing w:before="120" w:after="120" w:line="259" w:lineRule="auto"/>
        <w:rPr>
          <w:rFonts w:ascii="Calibri" w:eastAsia="Calibri" w:hAnsi="Calibri" w:cs="Times New Roman"/>
          <w:bCs/>
          <w:color w:val="000000"/>
          <w:sz w:val="24"/>
          <w:szCs w:val="24"/>
        </w:rPr>
      </w:pPr>
      <w:r w:rsidRPr="00482EAD">
        <w:rPr>
          <w:rFonts w:ascii="Calibri" w:eastAsia="Calibri" w:hAnsi="Calibri" w:cs="Times New Roman"/>
          <w:b/>
          <w:bCs/>
          <w:color w:val="000000"/>
          <w:sz w:val="24"/>
          <w:szCs w:val="24"/>
        </w:rPr>
        <w:t>Source</w:t>
      </w:r>
      <w:r w:rsidRPr="00CE05FF">
        <w:rPr>
          <w:rFonts w:ascii="Calibri" w:eastAsia="Calibri" w:hAnsi="Calibri" w:cs="Times New Roman"/>
          <w:bCs/>
          <w:color w:val="000000"/>
          <w:sz w:val="24"/>
          <w:szCs w:val="24"/>
        </w:rPr>
        <w:t xml:space="preserve"> </w:t>
      </w:r>
      <w:hyperlink r:id="rId27" w:history="1">
        <w:r w:rsidRPr="00256A15">
          <w:rPr>
            <w:rStyle w:val="Hyperlink"/>
            <w:rFonts w:ascii="Calibri" w:eastAsia="Calibri" w:hAnsi="Calibri"/>
            <w:sz w:val="24"/>
            <w:szCs w:val="24"/>
          </w:rPr>
          <w:t>link</w:t>
        </w:r>
      </w:hyperlink>
      <w:r w:rsidRPr="00CE05FF">
        <w:rPr>
          <w:rFonts w:ascii="Calibri" w:eastAsia="Calibri" w:hAnsi="Calibri" w:cs="Times New Roman"/>
          <w:bCs/>
          <w:color w:val="000000"/>
          <w:sz w:val="24"/>
          <w:szCs w:val="24"/>
        </w:rPr>
        <w:t xml:space="preserve">. </w:t>
      </w:r>
    </w:p>
    <w:p w:rsidR="005A7FB7" w:rsidRPr="00482EAD" w:rsidRDefault="005A7FB7" w:rsidP="005A7FB7">
      <w:pPr>
        <w:spacing w:before="120" w:after="120" w:line="259" w:lineRule="auto"/>
        <w:rPr>
          <w:rFonts w:ascii="Calibri" w:eastAsia="Calibri" w:hAnsi="Calibri" w:cs="Times New Roman"/>
          <w:b/>
          <w:bCs/>
          <w:i/>
          <w:color w:val="000000"/>
          <w:sz w:val="24"/>
          <w:szCs w:val="24"/>
        </w:rPr>
      </w:pPr>
      <w:r w:rsidRPr="0034584A">
        <w:rPr>
          <w:rFonts w:ascii="Calibri" w:eastAsia="Calibri" w:hAnsi="Calibri" w:cs="Times New Roman"/>
          <w:b/>
          <w:bCs/>
          <w:i/>
          <w:color w:val="002060"/>
          <w:sz w:val="24"/>
          <w:szCs w:val="24"/>
        </w:rPr>
        <w:t xml:space="preserve">Comment: </w:t>
      </w:r>
      <w:proofErr w:type="gramStart"/>
      <w:r w:rsidR="000904E4" w:rsidRPr="000904E4">
        <w:rPr>
          <w:rFonts w:ascii="Calibri" w:eastAsia="Calibri" w:hAnsi="Calibri" w:cs="Times New Roman"/>
          <w:b/>
          <w:bCs/>
          <w:i/>
          <w:color w:val="002060"/>
          <w:sz w:val="24"/>
          <w:szCs w:val="24"/>
        </w:rPr>
        <w:t>A number of</w:t>
      </w:r>
      <w:proofErr w:type="gramEnd"/>
      <w:r w:rsidR="000904E4" w:rsidRPr="000904E4">
        <w:rPr>
          <w:rFonts w:ascii="Calibri" w:eastAsia="Calibri" w:hAnsi="Calibri" w:cs="Times New Roman"/>
          <w:b/>
          <w:bCs/>
          <w:i/>
          <w:color w:val="002060"/>
          <w:sz w:val="24"/>
          <w:szCs w:val="24"/>
        </w:rPr>
        <w:t xml:space="preserve"> the cases that resulted in arrests involved international criminal organizations that defrauded small to large-sized businesses, while others involved individual victims who transferred large amounts of money or sensitive records in the course of business, according to the Justice Department. </w:t>
      </w:r>
      <w:r w:rsidR="00CB4E0A">
        <w:rPr>
          <w:rFonts w:ascii="Calibri" w:eastAsia="Calibri" w:hAnsi="Calibri" w:cs="Times New Roman"/>
          <w:b/>
          <w:bCs/>
          <w:i/>
          <w:color w:val="002060"/>
          <w:sz w:val="24"/>
          <w:szCs w:val="24"/>
        </w:rPr>
        <w:t>Share this as a case study for BSA/AML and with employees who need training in elder financial abuse detection.</w:t>
      </w:r>
    </w:p>
    <w:p w:rsidR="00063F3D" w:rsidRPr="00436AD8" w:rsidRDefault="00063F3D" w:rsidP="00063F3D">
      <w:pPr>
        <w:pStyle w:val="CCTOCHeading"/>
        <w:spacing w:line="259" w:lineRule="auto"/>
        <w:rPr>
          <w:rFonts w:asciiTheme="minorHAnsi" w:hAnsiTheme="minorHAnsi" w:cstheme="minorHAnsi"/>
        </w:rPr>
      </w:pPr>
      <w:bookmarkStart w:id="39" w:name="_Toc409519099"/>
      <w:bookmarkStart w:id="40" w:name="_Toc504138798"/>
      <w:bookmarkStart w:id="41" w:name="_Toc517254837"/>
      <w:bookmarkStart w:id="42" w:name="_Hlk514920426"/>
      <w:bookmarkEnd w:id="38"/>
      <w:r w:rsidRPr="00436AD8">
        <w:rPr>
          <w:rFonts w:asciiTheme="minorHAnsi" w:hAnsiTheme="minorHAnsi" w:cstheme="minorHAnsi"/>
        </w:rPr>
        <w:lastRenderedPageBreak/>
        <w:t>Publications, articles, reports, studies, testimony &amp; speeches</w:t>
      </w:r>
      <w:bookmarkEnd w:id="39"/>
      <w:bookmarkEnd w:id="40"/>
      <w:bookmarkEnd w:id="41"/>
    </w:p>
    <w:p w:rsidR="00271217" w:rsidRDefault="00271217" w:rsidP="00271217">
      <w:pPr>
        <w:spacing w:before="120" w:after="120" w:line="259" w:lineRule="auto"/>
        <w:rPr>
          <w:rFonts w:ascii="Calibri" w:eastAsia="Calibri" w:hAnsi="Calibri" w:cs="Times New Roman"/>
          <w:b/>
          <w:bCs/>
          <w:i/>
          <w:color w:val="000000" w:themeColor="text1"/>
          <w:sz w:val="24"/>
          <w:szCs w:val="24"/>
        </w:rPr>
      </w:pPr>
      <w:bookmarkStart w:id="43" w:name="_Hlk514747870"/>
      <w:bookmarkStart w:id="44" w:name="_Hlk511735612"/>
      <w:bookmarkStart w:id="45" w:name="_Hlk506888881"/>
      <w:bookmarkStart w:id="46" w:name="_Hlk504379111"/>
      <w:bookmarkStart w:id="47" w:name="_Toc504138799"/>
      <w:bookmarkEnd w:id="42"/>
      <w:r w:rsidRPr="00271217">
        <w:rPr>
          <w:rFonts w:ascii="Calibri" w:eastAsia="Calibri" w:hAnsi="Calibri" w:cs="Times New Roman"/>
          <w:b/>
          <w:bCs/>
          <w:i/>
          <w:color w:val="000000" w:themeColor="text1"/>
          <w:sz w:val="24"/>
          <w:szCs w:val="24"/>
        </w:rPr>
        <w:t>Smaller Banks Less Able to Withstand Flattening Yield Curve</w:t>
      </w:r>
      <w:r>
        <w:rPr>
          <w:rFonts w:ascii="Calibri" w:eastAsia="Calibri" w:hAnsi="Calibri" w:cs="Times New Roman"/>
          <w:b/>
          <w:bCs/>
          <w:i/>
          <w:color w:val="000000" w:themeColor="text1"/>
          <w:sz w:val="24"/>
          <w:szCs w:val="24"/>
        </w:rPr>
        <w:t xml:space="preserve"> (06.01.2018)</w:t>
      </w:r>
    </w:p>
    <w:p w:rsidR="00271217" w:rsidRDefault="00271217" w:rsidP="00271217">
      <w:pPr>
        <w:spacing w:before="120" w:after="120" w:line="259" w:lineRule="auto"/>
        <w:rPr>
          <w:rFonts w:ascii="Calibri" w:eastAsia="Calibri" w:hAnsi="Calibri" w:cs="Times New Roman"/>
          <w:bCs/>
          <w:color w:val="000000" w:themeColor="text1"/>
          <w:sz w:val="24"/>
          <w:szCs w:val="24"/>
        </w:rPr>
      </w:pPr>
      <w:r w:rsidRPr="00271217">
        <w:rPr>
          <w:rFonts w:ascii="Calibri" w:eastAsia="Calibri" w:hAnsi="Calibri" w:cs="Times New Roman"/>
          <w:bCs/>
          <w:color w:val="000000" w:themeColor="text1"/>
          <w:sz w:val="24"/>
          <w:szCs w:val="24"/>
        </w:rPr>
        <w:t>Abstract: For the overall U.S. banking system, the effect on profitability of yield-curve flattening—the lowering of the difference between the yields of short- and long-term debt—lasts about a year and is relatively small. After the first year, the impact on large banks’ profitability becomes positive; for smaller institutions, it stays negative and becomes larger. Recent yield-curve flattening is likely to more strongly affect smaller banks, reducing their profitability.</w:t>
      </w:r>
    </w:p>
    <w:p w:rsidR="00271217" w:rsidRDefault="00271217" w:rsidP="00271217">
      <w:pPr>
        <w:spacing w:before="120" w:after="120" w:line="259" w:lineRule="auto"/>
        <w:rPr>
          <w:rFonts w:ascii="Calibri" w:eastAsia="Calibri" w:hAnsi="Calibri" w:cs="Times New Roman"/>
          <w:bCs/>
          <w:color w:val="000000"/>
          <w:sz w:val="24"/>
          <w:szCs w:val="24"/>
        </w:rPr>
      </w:pPr>
      <w:r w:rsidRPr="00482EAD">
        <w:rPr>
          <w:rFonts w:ascii="Calibri" w:eastAsia="Calibri" w:hAnsi="Calibri" w:cs="Times New Roman"/>
          <w:b/>
          <w:bCs/>
          <w:color w:val="000000"/>
          <w:sz w:val="24"/>
          <w:szCs w:val="24"/>
        </w:rPr>
        <w:t>Source</w:t>
      </w:r>
      <w:r w:rsidRPr="00CE05FF">
        <w:rPr>
          <w:rFonts w:ascii="Calibri" w:eastAsia="Calibri" w:hAnsi="Calibri" w:cs="Times New Roman"/>
          <w:bCs/>
          <w:color w:val="000000"/>
          <w:sz w:val="24"/>
          <w:szCs w:val="24"/>
        </w:rPr>
        <w:t xml:space="preserve"> </w:t>
      </w:r>
      <w:hyperlink r:id="rId28" w:history="1">
        <w:r w:rsidRPr="00271217">
          <w:rPr>
            <w:rStyle w:val="Hyperlink"/>
            <w:rFonts w:ascii="Calibri" w:eastAsia="Calibri" w:hAnsi="Calibri"/>
            <w:sz w:val="24"/>
            <w:szCs w:val="24"/>
          </w:rPr>
          <w:t>link</w:t>
        </w:r>
      </w:hyperlink>
      <w:r w:rsidRPr="00CE05FF">
        <w:rPr>
          <w:rFonts w:ascii="Calibri" w:eastAsia="Calibri" w:hAnsi="Calibri" w:cs="Times New Roman"/>
          <w:bCs/>
          <w:color w:val="000000"/>
          <w:sz w:val="24"/>
          <w:szCs w:val="24"/>
        </w:rPr>
        <w:t xml:space="preserve">. </w:t>
      </w:r>
    </w:p>
    <w:p w:rsidR="00271217" w:rsidRDefault="00271217" w:rsidP="008629DB">
      <w:pPr>
        <w:spacing w:before="120" w:after="120" w:line="259" w:lineRule="auto"/>
        <w:rPr>
          <w:rFonts w:ascii="Calibri" w:eastAsia="Calibri" w:hAnsi="Calibri" w:cs="Times New Roman"/>
          <w:b/>
          <w:bCs/>
          <w:i/>
          <w:color w:val="000000" w:themeColor="text1"/>
          <w:sz w:val="24"/>
          <w:szCs w:val="24"/>
        </w:rPr>
      </w:pPr>
    </w:p>
    <w:p w:rsidR="00EF2EF3" w:rsidRDefault="00EF2EF3" w:rsidP="008629DB">
      <w:pPr>
        <w:spacing w:before="120" w:after="120" w:line="259" w:lineRule="auto"/>
        <w:rPr>
          <w:rFonts w:ascii="Calibri" w:eastAsia="Calibri" w:hAnsi="Calibri" w:cs="Times New Roman"/>
          <w:b/>
          <w:bCs/>
          <w:i/>
          <w:color w:val="000000" w:themeColor="text1"/>
          <w:sz w:val="24"/>
          <w:szCs w:val="24"/>
        </w:rPr>
      </w:pPr>
      <w:r>
        <w:rPr>
          <w:rFonts w:ascii="Calibri" w:eastAsia="Calibri" w:hAnsi="Calibri" w:cs="Times New Roman"/>
          <w:b/>
          <w:bCs/>
          <w:i/>
          <w:color w:val="000000" w:themeColor="text1"/>
          <w:sz w:val="24"/>
          <w:szCs w:val="24"/>
        </w:rPr>
        <w:t xml:space="preserve">Governor Lael Brainard - </w:t>
      </w:r>
      <w:r w:rsidRPr="00EF2EF3">
        <w:rPr>
          <w:rFonts w:ascii="Calibri" w:eastAsia="Calibri" w:hAnsi="Calibri" w:cs="Times New Roman"/>
          <w:b/>
          <w:bCs/>
          <w:i/>
          <w:color w:val="000000" w:themeColor="text1"/>
          <w:sz w:val="24"/>
          <w:szCs w:val="24"/>
        </w:rPr>
        <w:t>Sustaining Full Employment and Inflation around</w:t>
      </w:r>
      <w:r>
        <w:rPr>
          <w:rFonts w:ascii="Calibri" w:eastAsia="Calibri" w:hAnsi="Calibri" w:cs="Times New Roman"/>
          <w:b/>
          <w:bCs/>
          <w:i/>
          <w:color w:val="000000" w:themeColor="text1"/>
          <w:sz w:val="24"/>
          <w:szCs w:val="24"/>
        </w:rPr>
        <w:t xml:space="preserve"> Target</w:t>
      </w:r>
      <w:r w:rsidRPr="00EF2EF3">
        <w:rPr>
          <w:rFonts w:ascii="Calibri" w:eastAsia="Calibri" w:hAnsi="Calibri" w:cs="Times New Roman"/>
          <w:b/>
          <w:bCs/>
          <w:i/>
          <w:color w:val="000000" w:themeColor="text1"/>
          <w:sz w:val="24"/>
          <w:szCs w:val="24"/>
        </w:rPr>
        <w:t xml:space="preserve"> </w:t>
      </w:r>
      <w:r>
        <w:rPr>
          <w:rFonts w:ascii="Calibri" w:eastAsia="Calibri" w:hAnsi="Calibri" w:cs="Times New Roman"/>
          <w:b/>
          <w:bCs/>
          <w:i/>
          <w:color w:val="000000" w:themeColor="text1"/>
          <w:sz w:val="24"/>
          <w:szCs w:val="24"/>
        </w:rPr>
        <w:t>(05.31.2018)</w:t>
      </w:r>
    </w:p>
    <w:p w:rsidR="00EF2EF3" w:rsidRPr="00EF2EF3" w:rsidRDefault="00EF2EF3" w:rsidP="00EF2EF3">
      <w:pPr>
        <w:spacing w:before="120" w:after="120" w:line="259" w:lineRule="auto"/>
        <w:rPr>
          <w:rFonts w:ascii="Calibri" w:eastAsia="Calibri" w:hAnsi="Calibri" w:cs="Times New Roman"/>
          <w:bCs/>
          <w:color w:val="000000" w:themeColor="text1"/>
          <w:sz w:val="24"/>
          <w:szCs w:val="24"/>
        </w:rPr>
      </w:pPr>
      <w:r w:rsidRPr="00EF2EF3">
        <w:rPr>
          <w:rFonts w:ascii="Calibri" w:eastAsia="Calibri" w:hAnsi="Calibri" w:cs="Times New Roman"/>
          <w:bCs/>
          <w:color w:val="000000" w:themeColor="text1"/>
          <w:sz w:val="24"/>
          <w:szCs w:val="24"/>
        </w:rPr>
        <w:t>Although indicators of economic activity were on the soft side earlier in the year, the outlook for the remainder of 2018 remains quite positive, supported by sizable fiscal stimulus as well as still-accommodative financial conditions.</w:t>
      </w:r>
    </w:p>
    <w:p w:rsidR="008629DB" w:rsidRPr="00FE59A7" w:rsidRDefault="00EF2EF3" w:rsidP="00EF2EF3">
      <w:pPr>
        <w:spacing w:before="120" w:after="120" w:line="259" w:lineRule="auto"/>
        <w:rPr>
          <w:rFonts w:ascii="Calibri" w:eastAsia="Calibri" w:hAnsi="Calibri" w:cs="Times New Roman"/>
          <w:bCs/>
          <w:color w:val="000000" w:themeColor="text1"/>
          <w:sz w:val="24"/>
          <w:szCs w:val="24"/>
        </w:rPr>
      </w:pPr>
      <w:r w:rsidRPr="00EF2EF3">
        <w:rPr>
          <w:rFonts w:ascii="Calibri" w:eastAsia="Calibri" w:hAnsi="Calibri" w:cs="Times New Roman"/>
          <w:bCs/>
          <w:color w:val="000000" w:themeColor="text1"/>
          <w:sz w:val="24"/>
          <w:szCs w:val="24"/>
        </w:rPr>
        <w:t>In the latest report, real gross domestic product (GDP) increased 2.2 percent at an annual rate in the first quarter of 2018, a slowdown from the 3 percent pace in the final three quarters of 2017. The first-quarter slowdown was especially noticeable in consumer spending, which increased at only a 1 percent pace last quarter, compared with 2-3/4 percent in 2017. By contrast, business fixed investment increased 9 percent at an annual rate last quarter, surpassing its robust 2017 pace.</w:t>
      </w:r>
    </w:p>
    <w:p w:rsidR="008629DB" w:rsidRDefault="008629DB" w:rsidP="008629DB">
      <w:pPr>
        <w:spacing w:before="120" w:after="120" w:line="259" w:lineRule="auto"/>
        <w:rPr>
          <w:rFonts w:ascii="Calibri" w:eastAsia="Calibri" w:hAnsi="Calibri" w:cs="Times New Roman"/>
          <w:bCs/>
          <w:color w:val="000000"/>
          <w:sz w:val="24"/>
          <w:szCs w:val="24"/>
        </w:rPr>
      </w:pPr>
      <w:r w:rsidRPr="00482EAD">
        <w:rPr>
          <w:rFonts w:ascii="Calibri" w:eastAsia="Calibri" w:hAnsi="Calibri" w:cs="Times New Roman"/>
          <w:b/>
          <w:bCs/>
          <w:color w:val="000000"/>
          <w:sz w:val="24"/>
          <w:szCs w:val="24"/>
        </w:rPr>
        <w:t>Source</w:t>
      </w:r>
      <w:r w:rsidRPr="00CE05FF">
        <w:rPr>
          <w:rFonts w:ascii="Calibri" w:eastAsia="Calibri" w:hAnsi="Calibri" w:cs="Times New Roman"/>
          <w:bCs/>
          <w:color w:val="000000"/>
          <w:sz w:val="24"/>
          <w:szCs w:val="24"/>
        </w:rPr>
        <w:t xml:space="preserve"> </w:t>
      </w:r>
      <w:hyperlink r:id="rId29" w:history="1">
        <w:r w:rsidRPr="00EF2EF3">
          <w:rPr>
            <w:rStyle w:val="Hyperlink"/>
            <w:rFonts w:ascii="Calibri" w:eastAsia="Calibri" w:hAnsi="Calibri"/>
            <w:sz w:val="24"/>
            <w:szCs w:val="24"/>
          </w:rPr>
          <w:t>link</w:t>
        </w:r>
      </w:hyperlink>
      <w:r w:rsidRPr="00CE05FF">
        <w:rPr>
          <w:rFonts w:ascii="Calibri" w:eastAsia="Calibri" w:hAnsi="Calibri" w:cs="Times New Roman"/>
          <w:bCs/>
          <w:color w:val="000000"/>
          <w:sz w:val="24"/>
          <w:szCs w:val="24"/>
        </w:rPr>
        <w:t xml:space="preserve">. </w:t>
      </w:r>
    </w:p>
    <w:p w:rsidR="008629DB" w:rsidRDefault="008629DB" w:rsidP="000A32BC">
      <w:pPr>
        <w:spacing w:before="120" w:after="120" w:line="259" w:lineRule="auto"/>
        <w:rPr>
          <w:rFonts w:ascii="Calibri" w:eastAsia="Calibri" w:hAnsi="Calibri" w:cs="Times New Roman"/>
          <w:b/>
          <w:bCs/>
          <w:i/>
          <w:color w:val="000000" w:themeColor="text1"/>
          <w:sz w:val="24"/>
          <w:szCs w:val="24"/>
        </w:rPr>
      </w:pPr>
    </w:p>
    <w:p w:rsidR="000A32BC" w:rsidRPr="00CE05FF" w:rsidRDefault="000A32BC" w:rsidP="000A32BC">
      <w:pPr>
        <w:spacing w:before="120" w:after="120" w:line="259" w:lineRule="auto"/>
        <w:rPr>
          <w:rFonts w:ascii="Calibri" w:eastAsia="Calibri" w:hAnsi="Calibri" w:cs="Times New Roman"/>
          <w:b/>
          <w:bCs/>
          <w:i/>
          <w:color w:val="000000" w:themeColor="text1"/>
          <w:sz w:val="24"/>
          <w:szCs w:val="24"/>
        </w:rPr>
      </w:pPr>
      <w:r>
        <w:rPr>
          <w:rFonts w:ascii="Calibri" w:eastAsia="Calibri" w:hAnsi="Calibri" w:cs="Times New Roman"/>
          <w:b/>
          <w:bCs/>
          <w:i/>
          <w:color w:val="000000" w:themeColor="text1"/>
          <w:sz w:val="24"/>
          <w:szCs w:val="24"/>
        </w:rPr>
        <w:t>Fed Beige Book (05.30.3018)</w:t>
      </w:r>
    </w:p>
    <w:p w:rsidR="000A32BC" w:rsidRPr="000A32BC" w:rsidRDefault="000A32BC" w:rsidP="000A32BC">
      <w:pPr>
        <w:spacing w:before="120" w:after="120" w:line="259" w:lineRule="auto"/>
        <w:rPr>
          <w:rFonts w:ascii="Calibri" w:eastAsia="Calibri" w:hAnsi="Calibri" w:cs="Times New Roman"/>
          <w:bCs/>
          <w:color w:val="000000" w:themeColor="text1"/>
          <w:sz w:val="24"/>
          <w:szCs w:val="24"/>
        </w:rPr>
      </w:pPr>
      <w:r w:rsidRPr="000A32BC">
        <w:rPr>
          <w:rFonts w:ascii="Calibri" w:eastAsia="Calibri" w:hAnsi="Calibri" w:cs="Times New Roman"/>
          <w:bCs/>
          <w:color w:val="000000" w:themeColor="text1"/>
          <w:sz w:val="24"/>
          <w:szCs w:val="24"/>
        </w:rPr>
        <w:t>This report was prepared at the Federal Reserve Bank of Cleveland based on information collected on or before May 21, 2018. This document summarizes comments received from contacts outside the Federal Reserve System and is not a commentary on the views of Federal Reserve officials.</w:t>
      </w:r>
    </w:p>
    <w:p w:rsidR="000A32BC" w:rsidRPr="000A32BC" w:rsidRDefault="000A32BC" w:rsidP="000A32BC">
      <w:pPr>
        <w:spacing w:before="120" w:after="120" w:line="259" w:lineRule="auto"/>
        <w:rPr>
          <w:rFonts w:ascii="Calibri" w:eastAsia="Calibri" w:hAnsi="Calibri" w:cs="Times New Roman"/>
          <w:b/>
          <w:bCs/>
          <w:color w:val="000000" w:themeColor="text1"/>
          <w:sz w:val="24"/>
          <w:szCs w:val="24"/>
        </w:rPr>
      </w:pPr>
      <w:r w:rsidRPr="000A32BC">
        <w:rPr>
          <w:rFonts w:ascii="Calibri" w:eastAsia="Calibri" w:hAnsi="Calibri" w:cs="Times New Roman"/>
          <w:b/>
          <w:bCs/>
          <w:color w:val="000000" w:themeColor="text1"/>
          <w:sz w:val="24"/>
          <w:szCs w:val="24"/>
        </w:rPr>
        <w:t>Overall Economic Activity</w:t>
      </w:r>
    </w:p>
    <w:p w:rsidR="000A32BC" w:rsidRPr="000A32BC" w:rsidRDefault="000A32BC" w:rsidP="000A32BC">
      <w:pPr>
        <w:spacing w:before="120" w:after="120" w:line="259" w:lineRule="auto"/>
        <w:rPr>
          <w:rFonts w:ascii="Calibri" w:eastAsia="Calibri" w:hAnsi="Calibri" w:cs="Times New Roman"/>
          <w:bCs/>
          <w:color w:val="000000" w:themeColor="text1"/>
          <w:sz w:val="24"/>
          <w:szCs w:val="24"/>
        </w:rPr>
      </w:pPr>
      <w:r w:rsidRPr="000A32BC">
        <w:rPr>
          <w:rFonts w:ascii="Calibri" w:eastAsia="Calibri" w:hAnsi="Calibri" w:cs="Times New Roman"/>
          <w:bCs/>
          <w:color w:val="000000" w:themeColor="text1"/>
          <w:sz w:val="24"/>
          <w:szCs w:val="24"/>
        </w:rPr>
        <w:t>Economic activity expanded moderately in late April and early May with few shifts in the pattern of growth. The Dallas District was an exception, where overall economic activity sped up to a solid pace. Manufacturing shifted into higher gear with more than half of the Districts reporting a pickup in industrial activity and a third of the Districts classifying activity as "strong." Fabricated metals, heavy industrial machinery, and electronics equipment were noted as areas of strength. Rising goods production led to higher freight volumes for transportation firms. By contrast, consumer spending was soft. Nonauto retail sales growth moderated somewhat and auto sales were flat, although there was considerable variation by District and vehicle type. In banking, demand for loans ticked higher and banks reported that increased competition had led to higher deposit rates. Delinquency rates were mostly stable at low levels. Homebuilding and home sales increased modestly, on net, and nonresidential construction continued at a moderate pace. Contacts noted some concern about the uncertainty of international trade policy. Still, outlooks for near term growth were generally upbeat.</w:t>
      </w:r>
    </w:p>
    <w:p w:rsidR="000A32BC" w:rsidRPr="000A32BC" w:rsidRDefault="000A32BC" w:rsidP="00491B4E">
      <w:pPr>
        <w:keepNext/>
        <w:spacing w:before="120" w:after="120" w:line="259" w:lineRule="auto"/>
        <w:rPr>
          <w:rFonts w:ascii="Calibri" w:eastAsia="Calibri" w:hAnsi="Calibri" w:cs="Times New Roman"/>
          <w:b/>
          <w:bCs/>
          <w:color w:val="000000" w:themeColor="text1"/>
          <w:sz w:val="24"/>
          <w:szCs w:val="24"/>
        </w:rPr>
      </w:pPr>
      <w:r w:rsidRPr="000A32BC">
        <w:rPr>
          <w:rFonts w:ascii="Calibri" w:eastAsia="Calibri" w:hAnsi="Calibri" w:cs="Times New Roman"/>
          <w:b/>
          <w:bCs/>
          <w:color w:val="000000" w:themeColor="text1"/>
          <w:sz w:val="24"/>
          <w:szCs w:val="24"/>
        </w:rPr>
        <w:lastRenderedPageBreak/>
        <w:t>Employment and Wages</w:t>
      </w:r>
    </w:p>
    <w:p w:rsidR="000A32BC" w:rsidRPr="000A32BC" w:rsidRDefault="000A32BC" w:rsidP="000A32BC">
      <w:pPr>
        <w:spacing w:before="120" w:after="120" w:line="259" w:lineRule="auto"/>
        <w:rPr>
          <w:rFonts w:ascii="Calibri" w:eastAsia="Calibri" w:hAnsi="Calibri" w:cs="Times New Roman"/>
          <w:bCs/>
          <w:color w:val="000000" w:themeColor="text1"/>
          <w:sz w:val="24"/>
          <w:szCs w:val="24"/>
        </w:rPr>
      </w:pPr>
      <w:r w:rsidRPr="000A32BC">
        <w:rPr>
          <w:rFonts w:ascii="Calibri" w:eastAsia="Calibri" w:hAnsi="Calibri" w:cs="Times New Roman"/>
          <w:bCs/>
          <w:color w:val="000000" w:themeColor="text1"/>
          <w:sz w:val="24"/>
          <w:szCs w:val="24"/>
        </w:rPr>
        <w:t>Employment rose at a modest to moderate rate across most Districts. Again, the Dallas District was the exception, where solid and widespread employment growth was reported. Labor market conditions remained tight across the country, and contacts continued to report difficulty filling positions across skill levels. Shortages of qualified workers were reported in various specialized trades and occupations, including truck drivers, sales personnel, carpenters, electricians, painters, and information technology professionals. Many firms responded to talent shortages by increasing wages as well as the generosity of their compensation packages. In the aggregate, however, wage increases remained modest in most Districts. Contacts in some Districts expected similar employment and wage gains in the coming months.</w:t>
      </w:r>
    </w:p>
    <w:p w:rsidR="000A32BC" w:rsidRPr="000A32BC" w:rsidRDefault="000A32BC" w:rsidP="000A32BC">
      <w:pPr>
        <w:spacing w:before="120" w:after="120" w:line="259" w:lineRule="auto"/>
        <w:rPr>
          <w:rFonts w:ascii="Calibri" w:eastAsia="Calibri" w:hAnsi="Calibri" w:cs="Times New Roman"/>
          <w:b/>
          <w:bCs/>
          <w:color w:val="000000" w:themeColor="text1"/>
          <w:sz w:val="24"/>
          <w:szCs w:val="24"/>
        </w:rPr>
      </w:pPr>
      <w:r w:rsidRPr="000A32BC">
        <w:rPr>
          <w:rFonts w:ascii="Calibri" w:eastAsia="Calibri" w:hAnsi="Calibri" w:cs="Times New Roman"/>
          <w:b/>
          <w:bCs/>
          <w:color w:val="000000" w:themeColor="text1"/>
          <w:sz w:val="24"/>
          <w:szCs w:val="24"/>
        </w:rPr>
        <w:t>Prices</w:t>
      </w:r>
    </w:p>
    <w:p w:rsidR="000A32BC" w:rsidRDefault="000A32BC" w:rsidP="000A32BC">
      <w:pPr>
        <w:spacing w:before="120" w:after="120" w:line="259" w:lineRule="auto"/>
        <w:rPr>
          <w:rFonts w:ascii="Calibri" w:eastAsia="Calibri" w:hAnsi="Calibri" w:cs="Times New Roman"/>
          <w:bCs/>
          <w:color w:val="000000" w:themeColor="text1"/>
          <w:sz w:val="24"/>
          <w:szCs w:val="24"/>
        </w:rPr>
      </w:pPr>
      <w:r w:rsidRPr="000A32BC">
        <w:rPr>
          <w:rFonts w:ascii="Calibri" w:eastAsia="Calibri" w:hAnsi="Calibri" w:cs="Times New Roman"/>
          <w:bCs/>
          <w:color w:val="000000" w:themeColor="text1"/>
          <w:sz w:val="24"/>
          <w:szCs w:val="24"/>
        </w:rPr>
        <w:t>Prices rose moderately in most Districts, while the remainder reported slight or modest increases. There were several reports of rising materials costs, notably for steel, aluminum, oil, oil derivatives, lumber, and cement. A few Districts noted that these reports of rising materials costs were becoming more common across contacts. Input cost increases, along with labor shortages in some sectors and strengthening demand, put upward pressure on prices in the transportation, construction, and manufacturing sectors. Some Districts also noted that their retail contacts were more able to pass along price increases to their customers than in the recent past</w:t>
      </w:r>
      <w:r>
        <w:rPr>
          <w:rFonts w:ascii="Calibri" w:eastAsia="Calibri" w:hAnsi="Calibri" w:cs="Times New Roman"/>
          <w:bCs/>
          <w:color w:val="000000" w:themeColor="text1"/>
          <w:sz w:val="24"/>
          <w:szCs w:val="24"/>
        </w:rPr>
        <w:t>.</w:t>
      </w:r>
    </w:p>
    <w:p w:rsidR="000A32BC" w:rsidRDefault="000A32BC" w:rsidP="000A32BC">
      <w:pPr>
        <w:spacing w:before="120" w:after="120" w:line="259" w:lineRule="auto"/>
        <w:rPr>
          <w:rFonts w:ascii="Calibri" w:eastAsia="Calibri" w:hAnsi="Calibri" w:cs="Times New Roman"/>
          <w:bCs/>
          <w:color w:val="000000"/>
          <w:sz w:val="24"/>
          <w:szCs w:val="24"/>
        </w:rPr>
      </w:pPr>
      <w:r w:rsidRPr="00482EAD">
        <w:rPr>
          <w:rFonts w:ascii="Calibri" w:eastAsia="Calibri" w:hAnsi="Calibri" w:cs="Times New Roman"/>
          <w:b/>
          <w:bCs/>
          <w:color w:val="000000"/>
          <w:sz w:val="24"/>
          <w:szCs w:val="24"/>
        </w:rPr>
        <w:t>Source</w:t>
      </w:r>
      <w:r w:rsidRPr="00CE05FF">
        <w:rPr>
          <w:rFonts w:ascii="Calibri" w:eastAsia="Calibri" w:hAnsi="Calibri" w:cs="Times New Roman"/>
          <w:bCs/>
          <w:color w:val="000000"/>
          <w:sz w:val="24"/>
          <w:szCs w:val="24"/>
        </w:rPr>
        <w:t xml:space="preserve"> </w:t>
      </w:r>
      <w:hyperlink r:id="rId30" w:history="1">
        <w:r w:rsidRPr="000A32BC">
          <w:rPr>
            <w:rStyle w:val="Hyperlink"/>
            <w:rFonts w:ascii="Calibri" w:eastAsia="Calibri" w:hAnsi="Calibri"/>
            <w:sz w:val="24"/>
            <w:szCs w:val="24"/>
          </w:rPr>
          <w:t>link</w:t>
        </w:r>
      </w:hyperlink>
      <w:r w:rsidRPr="00CE05FF">
        <w:rPr>
          <w:rFonts w:ascii="Calibri" w:eastAsia="Calibri" w:hAnsi="Calibri" w:cs="Times New Roman"/>
          <w:bCs/>
          <w:color w:val="000000"/>
          <w:sz w:val="24"/>
          <w:szCs w:val="24"/>
        </w:rPr>
        <w:t xml:space="preserve">. </w:t>
      </w:r>
    </w:p>
    <w:p w:rsidR="000A32BC" w:rsidRPr="005A7FB7" w:rsidRDefault="000A32BC" w:rsidP="000A32BC">
      <w:pPr>
        <w:spacing w:before="120" w:after="120" w:line="259" w:lineRule="auto"/>
        <w:rPr>
          <w:rFonts w:ascii="Calibri" w:eastAsia="Calibri" w:hAnsi="Calibri" w:cs="Times New Roman"/>
          <w:b/>
          <w:bCs/>
          <w:i/>
          <w:color w:val="000000"/>
          <w:sz w:val="24"/>
          <w:szCs w:val="24"/>
        </w:rPr>
      </w:pPr>
      <w:r w:rsidRPr="0034584A">
        <w:rPr>
          <w:rFonts w:ascii="Calibri" w:eastAsia="Calibri" w:hAnsi="Calibri" w:cs="Times New Roman"/>
          <w:b/>
          <w:bCs/>
          <w:i/>
          <w:color w:val="002060"/>
          <w:sz w:val="24"/>
          <w:szCs w:val="24"/>
        </w:rPr>
        <w:t xml:space="preserve">Comment: </w:t>
      </w:r>
      <w:r w:rsidR="00D67E74" w:rsidRPr="00D67E74">
        <w:rPr>
          <w:rFonts w:ascii="Calibri" w:eastAsia="Calibri" w:hAnsi="Calibri" w:cs="Times New Roman"/>
          <w:b/>
          <w:bCs/>
          <w:i/>
          <w:color w:val="002060"/>
          <w:sz w:val="24"/>
          <w:szCs w:val="24"/>
        </w:rPr>
        <w:t>In every region of the country, Fed officials characterized the economy as performing well. Manufacturers raised production, banks reported stronger demand for loans and home builders were very busy, among other things.</w:t>
      </w:r>
    </w:p>
    <w:p w:rsidR="000A32BC" w:rsidRDefault="000A32BC" w:rsidP="005A7FB7">
      <w:pPr>
        <w:spacing w:before="120" w:after="120" w:line="259" w:lineRule="auto"/>
        <w:rPr>
          <w:rFonts w:ascii="Calibri" w:eastAsia="Calibri" w:hAnsi="Calibri" w:cs="Times New Roman"/>
          <w:b/>
          <w:bCs/>
          <w:i/>
          <w:color w:val="000000" w:themeColor="text1"/>
          <w:sz w:val="24"/>
          <w:szCs w:val="24"/>
        </w:rPr>
      </w:pPr>
    </w:p>
    <w:p w:rsidR="00FA41AE" w:rsidRDefault="00FA41AE" w:rsidP="005A7FB7">
      <w:pPr>
        <w:spacing w:before="120" w:after="120" w:line="259" w:lineRule="auto"/>
        <w:rPr>
          <w:rFonts w:ascii="Calibri" w:eastAsia="Calibri" w:hAnsi="Calibri" w:cs="Times New Roman"/>
          <w:b/>
          <w:bCs/>
          <w:i/>
          <w:color w:val="000000" w:themeColor="text1"/>
          <w:sz w:val="24"/>
          <w:szCs w:val="24"/>
        </w:rPr>
      </w:pPr>
      <w:r w:rsidRPr="00FA41AE">
        <w:rPr>
          <w:rFonts w:ascii="Calibri" w:eastAsia="Calibri" w:hAnsi="Calibri" w:cs="Times New Roman"/>
          <w:b/>
          <w:bCs/>
          <w:i/>
          <w:color w:val="000000" w:themeColor="text1"/>
          <w:sz w:val="24"/>
          <w:szCs w:val="24"/>
        </w:rPr>
        <w:t>Federal Reserve Banks’ Small Business Report Finds More Firms Are Profitable and Confident; Yet Certain Segments Struggle with Credit Access, Expenses, More</w:t>
      </w:r>
      <w:r>
        <w:rPr>
          <w:rFonts w:ascii="Calibri" w:eastAsia="Calibri" w:hAnsi="Calibri" w:cs="Times New Roman"/>
          <w:b/>
          <w:bCs/>
          <w:i/>
          <w:color w:val="000000" w:themeColor="text1"/>
          <w:sz w:val="24"/>
          <w:szCs w:val="24"/>
        </w:rPr>
        <w:t xml:space="preserve"> (05.22.2018)</w:t>
      </w:r>
    </w:p>
    <w:p w:rsidR="00FA41AE" w:rsidRPr="00FA41AE" w:rsidRDefault="00FA41AE" w:rsidP="00FA41AE">
      <w:pPr>
        <w:spacing w:before="120" w:after="120" w:line="259" w:lineRule="auto"/>
        <w:rPr>
          <w:rFonts w:ascii="Calibri" w:eastAsia="Calibri" w:hAnsi="Calibri" w:cs="Times New Roman"/>
          <w:bCs/>
          <w:color w:val="000000" w:themeColor="text1"/>
          <w:sz w:val="24"/>
          <w:szCs w:val="24"/>
        </w:rPr>
      </w:pPr>
      <w:r w:rsidRPr="00FA41AE">
        <w:rPr>
          <w:rFonts w:ascii="Calibri" w:eastAsia="Calibri" w:hAnsi="Calibri" w:cs="Times New Roman"/>
          <w:bCs/>
          <w:color w:val="000000" w:themeColor="text1"/>
          <w:sz w:val="24"/>
          <w:szCs w:val="24"/>
        </w:rPr>
        <w:t xml:space="preserve">The 12 Federal Reserve Banks today issued the 2017 Small Business Credit Survey: Report on Employer Firms, which examines the results of an annual survey of small business owners nationwide. The Report focuses on small employer firms, businesses that have between 1-499 full- or part-time employees (hereafter “firms”). It builds on the Reserve Banks’ new website FedSmallBusiness.org, which serves as a hub for small business research, analysis and thought leadership. </w:t>
      </w:r>
    </w:p>
    <w:p w:rsidR="00FA41AE" w:rsidRDefault="00FA41AE" w:rsidP="00FA41AE">
      <w:pPr>
        <w:spacing w:before="120" w:after="120" w:line="259" w:lineRule="auto"/>
        <w:rPr>
          <w:rFonts w:ascii="Calibri" w:eastAsia="Calibri" w:hAnsi="Calibri" w:cs="Times New Roman"/>
          <w:bCs/>
          <w:color w:val="000000" w:themeColor="text1"/>
          <w:sz w:val="24"/>
          <w:szCs w:val="24"/>
        </w:rPr>
      </w:pPr>
      <w:r w:rsidRPr="00FA41AE">
        <w:rPr>
          <w:rFonts w:ascii="Calibri" w:eastAsia="Calibri" w:hAnsi="Calibri" w:cs="Times New Roman"/>
          <w:bCs/>
          <w:color w:val="000000" w:themeColor="text1"/>
          <w:sz w:val="24"/>
          <w:szCs w:val="24"/>
        </w:rPr>
        <w:t xml:space="preserve">The Report found that firms’ profitability, revenue growth and employment growth improved, and optimism about future performance reached its highest level in several years. More firms received </w:t>
      </w:r>
      <w:proofErr w:type="gramStart"/>
      <w:r w:rsidRPr="00FA41AE">
        <w:rPr>
          <w:rFonts w:ascii="Calibri" w:eastAsia="Calibri" w:hAnsi="Calibri" w:cs="Times New Roman"/>
          <w:bCs/>
          <w:color w:val="000000" w:themeColor="text1"/>
          <w:sz w:val="24"/>
          <w:szCs w:val="24"/>
        </w:rPr>
        <w:t>all of</w:t>
      </w:r>
      <w:proofErr w:type="gramEnd"/>
      <w:r w:rsidRPr="00FA41AE">
        <w:rPr>
          <w:rFonts w:ascii="Calibri" w:eastAsia="Calibri" w:hAnsi="Calibri" w:cs="Times New Roman"/>
          <w:bCs/>
          <w:color w:val="000000" w:themeColor="text1"/>
          <w:sz w:val="24"/>
          <w:szCs w:val="24"/>
        </w:rPr>
        <w:t xml:space="preserve"> the financing they requested, and a significant portion did not apply for credit because they already had sufficient financing. Despite this success, smaller firms, startups, and those in the leisure and hospitality industry continued to struggle acutely with financing challenges.</w:t>
      </w:r>
    </w:p>
    <w:p w:rsidR="005A7FB7" w:rsidRDefault="005A7FB7" w:rsidP="00FA41AE">
      <w:pPr>
        <w:spacing w:before="120" w:after="120" w:line="259" w:lineRule="auto"/>
        <w:rPr>
          <w:rFonts w:ascii="Calibri" w:eastAsia="Calibri" w:hAnsi="Calibri" w:cs="Times New Roman"/>
          <w:bCs/>
          <w:color w:val="000000"/>
          <w:sz w:val="24"/>
          <w:szCs w:val="24"/>
        </w:rPr>
      </w:pPr>
      <w:r w:rsidRPr="00482EAD">
        <w:rPr>
          <w:rFonts w:ascii="Calibri" w:eastAsia="Calibri" w:hAnsi="Calibri" w:cs="Times New Roman"/>
          <w:b/>
          <w:bCs/>
          <w:color w:val="000000"/>
          <w:sz w:val="24"/>
          <w:szCs w:val="24"/>
        </w:rPr>
        <w:t>Source</w:t>
      </w:r>
      <w:r w:rsidRPr="00CE05FF">
        <w:rPr>
          <w:rFonts w:ascii="Calibri" w:eastAsia="Calibri" w:hAnsi="Calibri" w:cs="Times New Roman"/>
          <w:bCs/>
          <w:color w:val="000000"/>
          <w:sz w:val="24"/>
          <w:szCs w:val="24"/>
        </w:rPr>
        <w:t xml:space="preserve"> </w:t>
      </w:r>
      <w:hyperlink r:id="rId31" w:history="1">
        <w:r w:rsidRPr="00FA41AE">
          <w:rPr>
            <w:rStyle w:val="Hyperlink"/>
            <w:rFonts w:ascii="Calibri" w:eastAsia="Calibri" w:hAnsi="Calibri"/>
            <w:sz w:val="24"/>
            <w:szCs w:val="24"/>
          </w:rPr>
          <w:t>link</w:t>
        </w:r>
      </w:hyperlink>
      <w:r w:rsidRPr="00CE05FF">
        <w:rPr>
          <w:rFonts w:ascii="Calibri" w:eastAsia="Calibri" w:hAnsi="Calibri" w:cs="Times New Roman"/>
          <w:bCs/>
          <w:color w:val="000000"/>
          <w:sz w:val="24"/>
          <w:szCs w:val="24"/>
        </w:rPr>
        <w:t xml:space="preserve">. </w:t>
      </w:r>
    </w:p>
    <w:p w:rsidR="00245E19" w:rsidRPr="008A3545" w:rsidRDefault="005A7FB7" w:rsidP="009C704C">
      <w:pPr>
        <w:spacing w:before="120" w:after="120" w:line="259" w:lineRule="auto"/>
        <w:rPr>
          <w:rFonts w:ascii="Calibri" w:eastAsia="Calibri" w:hAnsi="Calibri" w:cs="Times New Roman"/>
          <w:b/>
          <w:bCs/>
          <w:i/>
          <w:color w:val="000000"/>
          <w:sz w:val="24"/>
          <w:szCs w:val="24"/>
        </w:rPr>
      </w:pPr>
      <w:r w:rsidRPr="0034584A">
        <w:rPr>
          <w:rFonts w:ascii="Calibri" w:eastAsia="Calibri" w:hAnsi="Calibri" w:cs="Times New Roman"/>
          <w:b/>
          <w:bCs/>
          <w:i/>
          <w:color w:val="002060"/>
          <w:sz w:val="24"/>
          <w:szCs w:val="24"/>
        </w:rPr>
        <w:t xml:space="preserve">Comment: </w:t>
      </w:r>
      <w:r w:rsidR="00D742A0">
        <w:rPr>
          <w:rFonts w:ascii="Calibri" w:eastAsia="Calibri" w:hAnsi="Calibri" w:cs="Times New Roman"/>
          <w:b/>
          <w:bCs/>
          <w:i/>
          <w:color w:val="002060"/>
          <w:sz w:val="24"/>
          <w:szCs w:val="24"/>
        </w:rPr>
        <w:t>Among the nearly 8,000 companies that responded to the survey, the</w:t>
      </w:r>
      <w:r w:rsidR="00D67E74" w:rsidRPr="00D67E74">
        <w:rPr>
          <w:rFonts w:ascii="Calibri" w:eastAsia="Calibri" w:hAnsi="Calibri" w:cs="Times New Roman"/>
          <w:b/>
          <w:bCs/>
          <w:i/>
          <w:color w:val="002060"/>
          <w:sz w:val="24"/>
          <w:szCs w:val="24"/>
        </w:rPr>
        <w:t xml:space="preserve"> smallest firms, startups, and minority-owned businesses struggled the most. About 74 percent of firms with less than $100,000 in revenue had trouble paying their bills, but a majority were either averse to borrowing or worried they would be turned down and so did not apply for a loan or other credit.</w:t>
      </w:r>
    </w:p>
    <w:p w:rsidR="005A7FB7" w:rsidRDefault="005A7FB7" w:rsidP="005A7FB7">
      <w:pPr>
        <w:spacing w:before="120" w:after="120" w:line="259" w:lineRule="auto"/>
        <w:rPr>
          <w:rFonts w:ascii="Calibri" w:eastAsia="Calibri" w:hAnsi="Calibri" w:cs="Times New Roman"/>
          <w:b/>
          <w:i/>
          <w:color w:val="002060"/>
          <w:sz w:val="24"/>
          <w:szCs w:val="24"/>
        </w:rPr>
      </w:pPr>
    </w:p>
    <w:p w:rsidR="00B93DBA" w:rsidRDefault="00B93DBA" w:rsidP="005A7FB7">
      <w:pPr>
        <w:spacing w:before="120" w:after="120" w:line="259" w:lineRule="auto"/>
        <w:rPr>
          <w:rFonts w:ascii="Calibri" w:eastAsia="Calibri" w:hAnsi="Calibri" w:cs="Times New Roman"/>
          <w:b/>
          <w:bCs/>
          <w:i/>
          <w:color w:val="000000" w:themeColor="text1"/>
          <w:sz w:val="24"/>
          <w:szCs w:val="24"/>
        </w:rPr>
      </w:pPr>
      <w:r w:rsidRPr="00B93DBA">
        <w:rPr>
          <w:rFonts w:ascii="Calibri" w:eastAsia="Calibri" w:hAnsi="Calibri" w:cs="Times New Roman"/>
          <w:b/>
          <w:bCs/>
          <w:i/>
          <w:color w:val="000000" w:themeColor="text1"/>
          <w:sz w:val="24"/>
          <w:szCs w:val="24"/>
        </w:rPr>
        <w:lastRenderedPageBreak/>
        <w:t xml:space="preserve">Federal Reserve Board </w:t>
      </w:r>
      <w:r>
        <w:rPr>
          <w:rFonts w:ascii="Calibri" w:eastAsia="Calibri" w:hAnsi="Calibri" w:cs="Times New Roman"/>
          <w:b/>
          <w:bCs/>
          <w:i/>
          <w:color w:val="000000" w:themeColor="text1"/>
          <w:sz w:val="24"/>
          <w:szCs w:val="24"/>
        </w:rPr>
        <w:t>I</w:t>
      </w:r>
      <w:r w:rsidRPr="00B93DBA">
        <w:rPr>
          <w:rFonts w:ascii="Calibri" w:eastAsia="Calibri" w:hAnsi="Calibri" w:cs="Times New Roman"/>
          <w:b/>
          <w:bCs/>
          <w:i/>
          <w:color w:val="000000" w:themeColor="text1"/>
          <w:sz w:val="24"/>
          <w:szCs w:val="24"/>
        </w:rPr>
        <w:t>ssues Report on the Economic Well-Being of U.S. Households</w:t>
      </w:r>
      <w:r>
        <w:rPr>
          <w:rFonts w:ascii="Calibri" w:eastAsia="Calibri" w:hAnsi="Calibri" w:cs="Times New Roman"/>
          <w:b/>
          <w:bCs/>
          <w:i/>
          <w:color w:val="000000" w:themeColor="text1"/>
          <w:sz w:val="24"/>
          <w:szCs w:val="24"/>
        </w:rPr>
        <w:t xml:space="preserve"> (05.22.2018)</w:t>
      </w:r>
    </w:p>
    <w:p w:rsidR="00B93DBA" w:rsidRPr="00B93DBA" w:rsidRDefault="00B93DBA" w:rsidP="00B93DBA">
      <w:pPr>
        <w:spacing w:before="120" w:after="120" w:line="259" w:lineRule="auto"/>
        <w:rPr>
          <w:rFonts w:ascii="Calibri" w:eastAsia="Calibri" w:hAnsi="Calibri" w:cs="Times New Roman"/>
          <w:bCs/>
          <w:color w:val="000000" w:themeColor="text1"/>
          <w:sz w:val="24"/>
          <w:szCs w:val="24"/>
        </w:rPr>
      </w:pPr>
      <w:r w:rsidRPr="00B93DBA">
        <w:rPr>
          <w:rFonts w:ascii="Calibri" w:eastAsia="Calibri" w:hAnsi="Calibri" w:cs="Times New Roman"/>
          <w:bCs/>
          <w:color w:val="000000" w:themeColor="text1"/>
          <w:sz w:val="24"/>
          <w:szCs w:val="24"/>
        </w:rPr>
        <w:t>The Federal Reserve Board's latest Report on the Economic Well-Being of U.S. Households finds that economic well-being has generally improved over the past five years. The report notes that 74 percent of adults reported they were doing at least OK financially in 2017</w:t>
      </w:r>
      <w:r w:rsidRPr="00B93DBA">
        <w:rPr>
          <w:rFonts w:ascii="MS Gothic" w:eastAsia="MS Gothic" w:hAnsi="MS Gothic" w:cs="MS Gothic" w:hint="eastAsia"/>
          <w:bCs/>
          <w:color w:val="000000" w:themeColor="text1"/>
          <w:sz w:val="24"/>
          <w:szCs w:val="24"/>
        </w:rPr>
        <w:t>‑‑</w:t>
      </w:r>
      <w:r w:rsidRPr="00B93DBA">
        <w:rPr>
          <w:rFonts w:ascii="Calibri" w:eastAsia="Calibri" w:hAnsi="Calibri" w:cs="Times New Roman"/>
          <w:bCs/>
          <w:color w:val="000000" w:themeColor="text1"/>
          <w:sz w:val="24"/>
          <w:szCs w:val="24"/>
        </w:rPr>
        <w:t>up 10 percentage points from the first survey in 2013. Even so, notable differences remain across race, ethnicity, education groups, and locations and many individuals still struggle to repay college loans, handle small emergency expenses, and manage retirement savings.</w:t>
      </w:r>
    </w:p>
    <w:p w:rsidR="00B93DBA" w:rsidRPr="00B93DBA" w:rsidRDefault="00B93DBA" w:rsidP="00B93DBA">
      <w:pPr>
        <w:spacing w:before="120" w:after="120" w:line="259" w:lineRule="auto"/>
        <w:rPr>
          <w:rFonts w:ascii="Calibri" w:eastAsia="Calibri" w:hAnsi="Calibri" w:cs="Times New Roman"/>
          <w:bCs/>
          <w:color w:val="000000" w:themeColor="text1"/>
          <w:sz w:val="24"/>
          <w:szCs w:val="24"/>
        </w:rPr>
      </w:pPr>
      <w:r w:rsidRPr="00B93DBA">
        <w:rPr>
          <w:rFonts w:ascii="Calibri" w:eastAsia="Calibri" w:hAnsi="Calibri" w:cs="Times New Roman"/>
          <w:bCs/>
          <w:color w:val="000000" w:themeColor="text1"/>
          <w:sz w:val="24"/>
          <w:szCs w:val="24"/>
        </w:rPr>
        <w:t>The report draws from the Board's fifth annual Survey of Household Economics and Decision</w:t>
      </w:r>
      <w:r w:rsidR="000A32BC">
        <w:rPr>
          <w:rFonts w:ascii="Calibri" w:eastAsia="Calibri" w:hAnsi="Calibri" w:cs="Times New Roman"/>
          <w:bCs/>
          <w:color w:val="000000" w:themeColor="text1"/>
          <w:sz w:val="24"/>
          <w:szCs w:val="24"/>
        </w:rPr>
        <w:t xml:space="preserve"> </w:t>
      </w:r>
      <w:r w:rsidRPr="00B93DBA">
        <w:rPr>
          <w:rFonts w:ascii="Calibri" w:eastAsia="Calibri" w:hAnsi="Calibri" w:cs="Times New Roman"/>
          <w:bCs/>
          <w:color w:val="000000" w:themeColor="text1"/>
          <w:sz w:val="24"/>
          <w:szCs w:val="24"/>
        </w:rPr>
        <w:t>making (SHED) and examines the economic well-being and financial lives of Americans and their families. In November and December 2017, more than 12,000 people participated in the survey. They described their experiences on a wide range of topics, including income, employment, unexpected expenses, banking and credit, housing, education, and retirement planning.</w:t>
      </w:r>
    </w:p>
    <w:p w:rsidR="005A7FB7" w:rsidRPr="00FE59A7" w:rsidRDefault="00B93DBA" w:rsidP="00B93DBA">
      <w:pPr>
        <w:spacing w:before="120" w:after="120" w:line="259" w:lineRule="auto"/>
        <w:rPr>
          <w:rFonts w:ascii="Calibri" w:eastAsia="Calibri" w:hAnsi="Calibri" w:cs="Times New Roman"/>
          <w:bCs/>
          <w:color w:val="000000" w:themeColor="text1"/>
          <w:sz w:val="24"/>
          <w:szCs w:val="24"/>
        </w:rPr>
      </w:pPr>
      <w:r w:rsidRPr="00B93DBA">
        <w:rPr>
          <w:rFonts w:ascii="Calibri" w:eastAsia="Calibri" w:hAnsi="Calibri" w:cs="Times New Roman"/>
          <w:bCs/>
          <w:color w:val="000000" w:themeColor="text1"/>
          <w:sz w:val="24"/>
          <w:szCs w:val="24"/>
        </w:rPr>
        <w:t>Among the new topics covered in this year's report is the relationship between the opioid epidemic and local economic conditions. One in five adults personally knows someone who has been addicted to opioids, and those who do have somewhat less favorable assessments of economic conditions. Still, over half of adults exposed to opioid addiction say that their local economy is good or excellent, suggesting a role for factors beyond economic conditions in understanding the crisis.</w:t>
      </w:r>
    </w:p>
    <w:p w:rsidR="005A7FB7" w:rsidRDefault="005A7FB7" w:rsidP="005A7FB7">
      <w:pPr>
        <w:spacing w:before="120" w:after="120" w:line="259" w:lineRule="auto"/>
        <w:rPr>
          <w:rFonts w:ascii="Calibri" w:eastAsia="Calibri" w:hAnsi="Calibri" w:cs="Times New Roman"/>
          <w:bCs/>
          <w:color w:val="000000"/>
          <w:sz w:val="24"/>
          <w:szCs w:val="24"/>
        </w:rPr>
      </w:pPr>
      <w:r w:rsidRPr="00482EAD">
        <w:rPr>
          <w:rFonts w:ascii="Calibri" w:eastAsia="Calibri" w:hAnsi="Calibri" w:cs="Times New Roman"/>
          <w:b/>
          <w:bCs/>
          <w:color w:val="000000"/>
          <w:sz w:val="24"/>
          <w:szCs w:val="24"/>
        </w:rPr>
        <w:t>Source</w:t>
      </w:r>
      <w:r w:rsidRPr="00CE05FF">
        <w:rPr>
          <w:rFonts w:ascii="Calibri" w:eastAsia="Calibri" w:hAnsi="Calibri" w:cs="Times New Roman"/>
          <w:bCs/>
          <w:color w:val="000000"/>
          <w:sz w:val="24"/>
          <w:szCs w:val="24"/>
        </w:rPr>
        <w:t xml:space="preserve"> </w:t>
      </w:r>
      <w:hyperlink r:id="rId32" w:history="1">
        <w:r w:rsidRPr="00B93DBA">
          <w:rPr>
            <w:rStyle w:val="Hyperlink"/>
            <w:rFonts w:ascii="Calibri" w:eastAsia="Calibri" w:hAnsi="Calibri"/>
            <w:sz w:val="24"/>
            <w:szCs w:val="24"/>
          </w:rPr>
          <w:t>link</w:t>
        </w:r>
      </w:hyperlink>
      <w:r w:rsidRPr="00CE05FF">
        <w:rPr>
          <w:rFonts w:ascii="Calibri" w:eastAsia="Calibri" w:hAnsi="Calibri" w:cs="Times New Roman"/>
          <w:bCs/>
          <w:color w:val="000000"/>
          <w:sz w:val="24"/>
          <w:szCs w:val="24"/>
        </w:rPr>
        <w:t xml:space="preserve">. </w:t>
      </w:r>
    </w:p>
    <w:p w:rsidR="005A7FB7" w:rsidRPr="00482EAD" w:rsidRDefault="005A7FB7" w:rsidP="005A7FB7">
      <w:pPr>
        <w:spacing w:before="120" w:after="120" w:line="259" w:lineRule="auto"/>
        <w:rPr>
          <w:rFonts w:ascii="Calibri" w:eastAsia="Calibri" w:hAnsi="Calibri" w:cs="Times New Roman"/>
          <w:b/>
          <w:bCs/>
          <w:i/>
          <w:color w:val="000000"/>
          <w:sz w:val="24"/>
          <w:szCs w:val="24"/>
        </w:rPr>
      </w:pPr>
      <w:r w:rsidRPr="0034584A">
        <w:rPr>
          <w:rFonts w:ascii="Calibri" w:eastAsia="Calibri" w:hAnsi="Calibri" w:cs="Times New Roman"/>
          <w:b/>
          <w:bCs/>
          <w:i/>
          <w:color w:val="002060"/>
          <w:sz w:val="24"/>
          <w:szCs w:val="24"/>
        </w:rPr>
        <w:t xml:space="preserve">Comment: </w:t>
      </w:r>
      <w:r w:rsidR="00D742A0">
        <w:rPr>
          <w:rFonts w:ascii="Calibri" w:eastAsia="Calibri" w:hAnsi="Calibri" w:cs="Times New Roman"/>
          <w:b/>
          <w:bCs/>
          <w:i/>
          <w:color w:val="002060"/>
          <w:sz w:val="24"/>
          <w:szCs w:val="24"/>
        </w:rPr>
        <w:t>The economy is currently in</w:t>
      </w:r>
      <w:r w:rsidR="00D742A0" w:rsidRPr="00D742A0">
        <w:rPr>
          <w:rFonts w:ascii="Calibri" w:eastAsia="Calibri" w:hAnsi="Calibri" w:cs="Times New Roman"/>
          <w:b/>
          <w:bCs/>
          <w:i/>
          <w:color w:val="002060"/>
          <w:sz w:val="24"/>
          <w:szCs w:val="24"/>
        </w:rPr>
        <w:t xml:space="preserve"> its tenth year of expansion following the financial crisis-induced recession</w:t>
      </w:r>
      <w:r w:rsidR="00D742A0">
        <w:rPr>
          <w:rFonts w:ascii="Calibri" w:eastAsia="Calibri" w:hAnsi="Calibri" w:cs="Times New Roman"/>
          <w:b/>
          <w:bCs/>
          <w:i/>
          <w:color w:val="002060"/>
          <w:sz w:val="24"/>
          <w:szCs w:val="24"/>
        </w:rPr>
        <w:t xml:space="preserve"> in 2008. This report shows that things are getting better </w:t>
      </w:r>
      <w:r w:rsidR="00D742A0" w:rsidRPr="00D742A0">
        <w:rPr>
          <w:rFonts w:ascii="Calibri" w:eastAsia="Calibri" w:hAnsi="Calibri" w:cs="Times New Roman"/>
          <w:b/>
          <w:bCs/>
          <w:i/>
          <w:color w:val="002060"/>
          <w:sz w:val="24"/>
          <w:szCs w:val="24"/>
        </w:rPr>
        <w:t>on balanc</w:t>
      </w:r>
      <w:r w:rsidR="00D742A0">
        <w:rPr>
          <w:rFonts w:ascii="Calibri" w:eastAsia="Calibri" w:hAnsi="Calibri" w:cs="Times New Roman"/>
          <w:b/>
          <w:bCs/>
          <w:i/>
          <w:color w:val="002060"/>
          <w:sz w:val="24"/>
          <w:szCs w:val="24"/>
        </w:rPr>
        <w:t>e year over year</w:t>
      </w:r>
      <w:r w:rsidR="00D742A0" w:rsidRPr="00D742A0">
        <w:rPr>
          <w:rFonts w:ascii="Calibri" w:eastAsia="Calibri" w:hAnsi="Calibri" w:cs="Times New Roman"/>
          <w:b/>
          <w:bCs/>
          <w:i/>
          <w:color w:val="002060"/>
          <w:sz w:val="24"/>
          <w:szCs w:val="24"/>
        </w:rPr>
        <w:t xml:space="preserve">. </w:t>
      </w:r>
      <w:r w:rsidR="00D742A0">
        <w:rPr>
          <w:rFonts w:ascii="Calibri" w:eastAsia="Calibri" w:hAnsi="Calibri" w:cs="Times New Roman"/>
          <w:b/>
          <w:bCs/>
          <w:i/>
          <w:color w:val="002060"/>
          <w:sz w:val="24"/>
          <w:szCs w:val="24"/>
        </w:rPr>
        <w:t>By comparison,</w:t>
      </w:r>
      <w:r w:rsidR="00D742A0" w:rsidRPr="00D742A0">
        <w:rPr>
          <w:rFonts w:ascii="Calibri" w:eastAsia="Calibri" w:hAnsi="Calibri" w:cs="Times New Roman"/>
          <w:b/>
          <w:bCs/>
          <w:i/>
          <w:color w:val="002060"/>
          <w:sz w:val="24"/>
          <w:szCs w:val="24"/>
        </w:rPr>
        <w:t xml:space="preserve"> the Fed did this survey in 2013, 13% of respondents said they were struggling to get by; </w:t>
      </w:r>
      <w:r w:rsidR="00D742A0">
        <w:rPr>
          <w:rFonts w:ascii="Calibri" w:eastAsia="Calibri" w:hAnsi="Calibri" w:cs="Times New Roman"/>
          <w:b/>
          <w:bCs/>
          <w:i/>
          <w:color w:val="002060"/>
          <w:sz w:val="24"/>
          <w:szCs w:val="24"/>
        </w:rPr>
        <w:t xml:space="preserve">and in 2017 </w:t>
      </w:r>
      <w:r w:rsidR="00D742A0" w:rsidRPr="00D742A0">
        <w:rPr>
          <w:rFonts w:ascii="Calibri" w:eastAsia="Calibri" w:hAnsi="Calibri" w:cs="Times New Roman"/>
          <w:b/>
          <w:bCs/>
          <w:i/>
          <w:color w:val="002060"/>
          <w:sz w:val="24"/>
          <w:szCs w:val="24"/>
        </w:rPr>
        <w:t>that number fell to 7%.</w:t>
      </w:r>
    </w:p>
    <w:bookmarkEnd w:id="43"/>
    <w:p w:rsidR="005A7FB7" w:rsidRDefault="005A7FB7" w:rsidP="005A7FB7">
      <w:pPr>
        <w:spacing w:before="120" w:after="120" w:line="259" w:lineRule="auto"/>
        <w:rPr>
          <w:rFonts w:ascii="Calibri" w:eastAsia="Calibri" w:hAnsi="Calibri" w:cs="Times New Roman"/>
          <w:b/>
          <w:i/>
          <w:color w:val="002060"/>
          <w:sz w:val="24"/>
          <w:szCs w:val="24"/>
        </w:rPr>
      </w:pPr>
    </w:p>
    <w:p w:rsidR="005A7FB7" w:rsidRPr="00CE05FF" w:rsidRDefault="002317BB" w:rsidP="005A7FB7">
      <w:pPr>
        <w:spacing w:before="120" w:after="120" w:line="259" w:lineRule="auto"/>
        <w:rPr>
          <w:rFonts w:ascii="Calibri" w:eastAsia="Calibri" w:hAnsi="Calibri" w:cs="Times New Roman"/>
          <w:b/>
          <w:bCs/>
          <w:i/>
          <w:color w:val="000000" w:themeColor="text1"/>
          <w:sz w:val="24"/>
          <w:szCs w:val="24"/>
        </w:rPr>
      </w:pPr>
      <w:r w:rsidRPr="002317BB">
        <w:rPr>
          <w:rFonts w:ascii="Calibri" w:eastAsia="Calibri" w:hAnsi="Calibri" w:cs="Times New Roman"/>
          <w:b/>
          <w:bCs/>
          <w:i/>
          <w:color w:val="000000" w:themeColor="text1"/>
          <w:sz w:val="24"/>
          <w:szCs w:val="24"/>
        </w:rPr>
        <w:t>Chicago Fed National Activity Index</w:t>
      </w:r>
      <w:r>
        <w:rPr>
          <w:rFonts w:ascii="Calibri" w:eastAsia="Calibri" w:hAnsi="Calibri" w:cs="Times New Roman"/>
          <w:b/>
          <w:bCs/>
          <w:i/>
          <w:color w:val="000000" w:themeColor="text1"/>
          <w:sz w:val="24"/>
          <w:szCs w:val="24"/>
        </w:rPr>
        <w:t xml:space="preserve"> (05.21.2018)</w:t>
      </w:r>
    </w:p>
    <w:p w:rsidR="00696669" w:rsidRPr="00696669" w:rsidRDefault="00696669" w:rsidP="00696669">
      <w:pPr>
        <w:spacing w:before="120" w:after="120" w:line="259" w:lineRule="auto"/>
        <w:rPr>
          <w:rFonts w:ascii="Calibri" w:eastAsia="Calibri" w:hAnsi="Calibri" w:cs="Times New Roman"/>
          <w:bCs/>
          <w:color w:val="000000" w:themeColor="text1"/>
          <w:sz w:val="24"/>
          <w:szCs w:val="24"/>
        </w:rPr>
      </w:pPr>
      <w:r w:rsidRPr="00696669">
        <w:rPr>
          <w:rFonts w:ascii="Calibri" w:eastAsia="Calibri" w:hAnsi="Calibri" w:cs="Times New Roman"/>
          <w:bCs/>
          <w:color w:val="000000" w:themeColor="text1"/>
          <w:sz w:val="24"/>
          <w:szCs w:val="24"/>
        </w:rPr>
        <w:t>The Chicago Fed National Activity Index (CFNAI) ticked up to +0.34 in April from +0.32 in March. Two of the four broad categories of indicators that make up the index increased from March, and three of the four categories made positive contributions to the index in April. The index’s three-month moving average, CFNAI-MA3,</w:t>
      </w:r>
      <w:r w:rsidR="002317BB">
        <w:rPr>
          <w:rFonts w:ascii="Calibri" w:eastAsia="Calibri" w:hAnsi="Calibri" w:cs="Times New Roman"/>
          <w:bCs/>
          <w:color w:val="000000" w:themeColor="text1"/>
          <w:sz w:val="24"/>
          <w:szCs w:val="24"/>
        </w:rPr>
        <w:t xml:space="preserve"> </w:t>
      </w:r>
      <w:r w:rsidRPr="00696669">
        <w:rPr>
          <w:rFonts w:ascii="Calibri" w:eastAsia="Calibri" w:hAnsi="Calibri" w:cs="Times New Roman"/>
          <w:bCs/>
          <w:color w:val="000000" w:themeColor="text1"/>
          <w:sz w:val="24"/>
          <w:szCs w:val="24"/>
        </w:rPr>
        <w:t>increased to +0.46 in April from +0.23 in March.</w:t>
      </w:r>
    </w:p>
    <w:p w:rsidR="002317BB" w:rsidRDefault="00696669" w:rsidP="00696669">
      <w:pPr>
        <w:spacing w:before="120" w:after="120" w:line="259" w:lineRule="auto"/>
        <w:rPr>
          <w:rFonts w:ascii="Calibri" w:eastAsia="Calibri" w:hAnsi="Calibri" w:cs="Times New Roman"/>
          <w:bCs/>
          <w:color w:val="000000" w:themeColor="text1"/>
          <w:sz w:val="24"/>
          <w:szCs w:val="24"/>
        </w:rPr>
      </w:pPr>
      <w:r w:rsidRPr="00696669">
        <w:rPr>
          <w:rFonts w:ascii="Calibri" w:eastAsia="Calibri" w:hAnsi="Calibri" w:cs="Times New Roman"/>
          <w:bCs/>
          <w:color w:val="000000" w:themeColor="text1"/>
          <w:sz w:val="24"/>
          <w:szCs w:val="24"/>
        </w:rPr>
        <w:t>The CFNAI Diffusion Index, which is also a three-month moving average, moved up to +0.23 in April from +0.11 in March. Fifty of the 85 individual indicators made positive contributions to the CFNAI in April, while 35 made negative contributions. Thirty-five indicators improved from March to April, while 50 indicators deteriorated. Of the indicators that improved, eight made negative contributions.</w:t>
      </w:r>
    </w:p>
    <w:p w:rsidR="005A7FB7" w:rsidRDefault="005A7FB7" w:rsidP="00696669">
      <w:pPr>
        <w:spacing w:before="120" w:after="120" w:line="259" w:lineRule="auto"/>
        <w:rPr>
          <w:rFonts w:ascii="Calibri" w:eastAsia="Calibri" w:hAnsi="Calibri" w:cs="Times New Roman"/>
          <w:bCs/>
          <w:color w:val="000000"/>
          <w:sz w:val="24"/>
          <w:szCs w:val="24"/>
        </w:rPr>
      </w:pPr>
      <w:r w:rsidRPr="00482EAD">
        <w:rPr>
          <w:rFonts w:ascii="Calibri" w:eastAsia="Calibri" w:hAnsi="Calibri" w:cs="Times New Roman"/>
          <w:b/>
          <w:bCs/>
          <w:color w:val="000000"/>
          <w:sz w:val="24"/>
          <w:szCs w:val="24"/>
        </w:rPr>
        <w:t>Source</w:t>
      </w:r>
      <w:r w:rsidRPr="00CE05FF">
        <w:rPr>
          <w:rFonts w:ascii="Calibri" w:eastAsia="Calibri" w:hAnsi="Calibri" w:cs="Times New Roman"/>
          <w:bCs/>
          <w:color w:val="000000"/>
          <w:sz w:val="24"/>
          <w:szCs w:val="24"/>
        </w:rPr>
        <w:t xml:space="preserve"> </w:t>
      </w:r>
      <w:hyperlink r:id="rId33" w:history="1">
        <w:r w:rsidRPr="002317BB">
          <w:rPr>
            <w:rStyle w:val="Hyperlink"/>
            <w:rFonts w:ascii="Calibri" w:eastAsia="Calibri" w:hAnsi="Calibri"/>
            <w:sz w:val="24"/>
            <w:szCs w:val="24"/>
          </w:rPr>
          <w:t>link</w:t>
        </w:r>
      </w:hyperlink>
      <w:r w:rsidRPr="00CE05FF">
        <w:rPr>
          <w:rFonts w:ascii="Calibri" w:eastAsia="Calibri" w:hAnsi="Calibri" w:cs="Times New Roman"/>
          <w:bCs/>
          <w:color w:val="000000"/>
          <w:sz w:val="24"/>
          <w:szCs w:val="24"/>
        </w:rPr>
        <w:t xml:space="preserve">. </w:t>
      </w:r>
    </w:p>
    <w:p w:rsidR="00063F3D" w:rsidRPr="00436AD8" w:rsidRDefault="00063F3D" w:rsidP="00063F3D">
      <w:pPr>
        <w:pStyle w:val="CCTOCHeading"/>
        <w:spacing w:line="259" w:lineRule="auto"/>
        <w:rPr>
          <w:rFonts w:asciiTheme="minorHAnsi" w:hAnsiTheme="minorHAnsi" w:cstheme="minorHAnsi"/>
        </w:rPr>
      </w:pPr>
      <w:bookmarkStart w:id="48" w:name="_Toc517254838"/>
      <w:bookmarkStart w:id="49" w:name="_Hlk514920434"/>
      <w:bookmarkEnd w:id="44"/>
      <w:bookmarkEnd w:id="45"/>
      <w:bookmarkEnd w:id="46"/>
      <w:r w:rsidRPr="00436AD8">
        <w:rPr>
          <w:rFonts w:asciiTheme="minorHAnsi" w:hAnsiTheme="minorHAnsi" w:cstheme="minorHAnsi"/>
        </w:rPr>
        <w:lastRenderedPageBreak/>
        <w:t>Selected federal rules – proposed</w:t>
      </w:r>
      <w:bookmarkEnd w:id="0"/>
      <w:bookmarkEnd w:id="47"/>
      <w:bookmarkEnd w:id="48"/>
    </w:p>
    <w:bookmarkEnd w:id="49"/>
    <w:p w:rsidR="00063F3D" w:rsidRPr="00436AD8" w:rsidRDefault="00063F3D" w:rsidP="00063F3D">
      <w:pPr>
        <w:pStyle w:val="CCIssuance"/>
        <w:rPr>
          <w:rFonts w:asciiTheme="minorHAnsi" w:hAnsiTheme="minorHAnsi" w:cstheme="minorHAnsi"/>
          <w:b w:val="0"/>
          <w:color w:val="auto"/>
          <w:sz w:val="22"/>
          <w:szCs w:val="22"/>
        </w:rPr>
      </w:pPr>
      <w:r w:rsidRPr="00436AD8">
        <w:rPr>
          <w:rFonts w:asciiTheme="minorHAnsi" w:hAnsiTheme="minorHAnsi" w:cstheme="minorHAnsi"/>
          <w:b w:val="0"/>
          <w:color w:val="auto"/>
          <w:sz w:val="22"/>
          <w:szCs w:val="22"/>
        </w:rPr>
        <w:t xml:space="preserve">Proposed rules are included only when community banks </w:t>
      </w:r>
      <w:r w:rsidR="000B1726">
        <w:rPr>
          <w:rFonts w:asciiTheme="minorHAnsi" w:hAnsiTheme="minorHAnsi" w:cstheme="minorHAnsi"/>
          <w:b w:val="0"/>
          <w:color w:val="auto"/>
          <w:sz w:val="22"/>
          <w:szCs w:val="22"/>
        </w:rPr>
        <w:t>June</w:t>
      </w:r>
      <w:r w:rsidRPr="00436AD8">
        <w:rPr>
          <w:rFonts w:asciiTheme="minorHAnsi" w:hAnsiTheme="minorHAnsi" w:cstheme="minorHAnsi"/>
          <w:b w:val="0"/>
          <w:color w:val="auto"/>
          <w:sz w:val="22"/>
          <w:szCs w:val="22"/>
        </w:rPr>
        <w:t xml:space="preserve"> want to comment. Date posted </w:t>
      </w:r>
      <w:r w:rsidR="000B1726">
        <w:rPr>
          <w:rFonts w:asciiTheme="minorHAnsi" w:hAnsiTheme="minorHAnsi" w:cstheme="minorHAnsi"/>
          <w:b w:val="0"/>
          <w:color w:val="auto"/>
          <w:sz w:val="22"/>
          <w:szCs w:val="22"/>
        </w:rPr>
        <w:t>June</w:t>
      </w:r>
      <w:r w:rsidRPr="00436AD8">
        <w:rPr>
          <w:rFonts w:asciiTheme="minorHAnsi" w:hAnsiTheme="minorHAnsi" w:cstheme="minorHAnsi"/>
          <w:b w:val="0"/>
          <w:color w:val="auto"/>
          <w:sz w:val="22"/>
          <w:szCs w:val="22"/>
        </w:rPr>
        <w:t xml:space="preserve"> not be the same as the Federal Register Date. </w:t>
      </w:r>
    </w:p>
    <w:p w:rsidR="00063F3D" w:rsidRPr="00E36FF6" w:rsidRDefault="00063F3D" w:rsidP="00063F3D">
      <w:pPr>
        <w:pStyle w:val="CCIssuance"/>
        <w:spacing w:after="0"/>
        <w:rPr>
          <w:rFonts w:asciiTheme="minorHAnsi" w:hAnsiTheme="minorHAnsi" w:cstheme="minorHAnsi"/>
          <w:color w:val="auto"/>
          <w:sz w:val="18"/>
          <w:szCs w:val="18"/>
        </w:rPr>
      </w:pPr>
      <w:r w:rsidRPr="00E36FF6">
        <w:rPr>
          <w:rFonts w:asciiTheme="minorHAnsi" w:hAnsiTheme="minorHAnsi" w:cstheme="minorHAnsi"/>
          <w:color w:val="auto"/>
          <w:sz w:val="18"/>
          <w:szCs w:val="18"/>
        </w:rPr>
        <w:t>Posted</w:t>
      </w:r>
    </w:p>
    <w:p w:rsidR="00063F3D" w:rsidRPr="00E36FF6" w:rsidRDefault="00063F3D" w:rsidP="00063F3D">
      <w:pPr>
        <w:pStyle w:val="CCIssuance"/>
        <w:pBdr>
          <w:bottom w:val="single" w:sz="12" w:space="1" w:color="auto"/>
        </w:pBdr>
        <w:spacing w:after="0"/>
        <w:rPr>
          <w:rFonts w:asciiTheme="minorHAnsi" w:hAnsiTheme="minorHAnsi" w:cstheme="minorHAnsi"/>
          <w:color w:val="auto"/>
          <w:sz w:val="18"/>
          <w:szCs w:val="18"/>
        </w:rPr>
      </w:pPr>
      <w:r w:rsidRPr="00E36FF6">
        <w:rPr>
          <w:rFonts w:asciiTheme="minorHAnsi" w:hAnsiTheme="minorHAnsi" w:cstheme="minorHAnsi"/>
          <w:color w:val="auto"/>
          <w:sz w:val="18"/>
          <w:szCs w:val="18"/>
        </w:rPr>
        <w:t>Date</w:t>
      </w:r>
      <w:r w:rsidRPr="00E36FF6">
        <w:rPr>
          <w:rFonts w:asciiTheme="minorHAnsi" w:hAnsiTheme="minorHAnsi" w:cstheme="minorHAnsi"/>
          <w:color w:val="auto"/>
          <w:sz w:val="18"/>
          <w:szCs w:val="18"/>
        </w:rPr>
        <w:tab/>
      </w:r>
      <w:r w:rsidRPr="00E36FF6">
        <w:rPr>
          <w:rFonts w:asciiTheme="minorHAnsi" w:hAnsiTheme="minorHAnsi" w:cstheme="minorHAnsi"/>
          <w:color w:val="auto"/>
          <w:sz w:val="18"/>
          <w:szCs w:val="18"/>
        </w:rPr>
        <w:tab/>
        <w:t>SUMMARY OF PROPOSED RULE</w:t>
      </w:r>
    </w:p>
    <w:p w:rsidR="00063F3D" w:rsidRPr="00E36FF6" w:rsidRDefault="00063F3D" w:rsidP="00063F3D">
      <w:pPr>
        <w:pStyle w:val="CCComment"/>
        <w:keepNext/>
        <w:ind w:left="1440" w:hanging="1440"/>
        <w:rPr>
          <w:rFonts w:asciiTheme="minorHAnsi" w:eastAsia="Times New Roman" w:hAnsiTheme="minorHAnsi" w:cstheme="minorHAnsi"/>
          <w:i w:val="0"/>
          <w:color w:val="auto"/>
          <w:sz w:val="18"/>
          <w:szCs w:val="18"/>
        </w:rPr>
      </w:pPr>
    </w:p>
    <w:p w:rsidR="0001026E" w:rsidRDefault="0001026E" w:rsidP="0001026E">
      <w:pPr>
        <w:autoSpaceDE w:val="0"/>
        <w:autoSpaceDN w:val="0"/>
        <w:adjustRightInd w:val="0"/>
        <w:ind w:left="1440" w:hanging="1440"/>
        <w:rPr>
          <w:rFonts w:cstheme="minorHAnsi"/>
          <w:sz w:val="18"/>
          <w:szCs w:val="18"/>
        </w:rPr>
      </w:pPr>
      <w:r>
        <w:rPr>
          <w:rFonts w:cstheme="minorHAnsi"/>
          <w:sz w:val="18"/>
          <w:szCs w:val="18"/>
        </w:rPr>
        <w:t>05.14.2018</w:t>
      </w:r>
      <w:r>
        <w:rPr>
          <w:rFonts w:cstheme="minorHAnsi"/>
          <w:sz w:val="18"/>
          <w:szCs w:val="18"/>
        </w:rPr>
        <w:tab/>
        <w:t xml:space="preserve">The Office of the Comptroller </w:t>
      </w:r>
      <w:r w:rsidRPr="0001026E">
        <w:rPr>
          <w:rFonts w:cstheme="minorHAnsi"/>
          <w:sz w:val="18"/>
          <w:szCs w:val="18"/>
        </w:rPr>
        <w:t>of the Currency, the Board of Governors</w:t>
      </w:r>
      <w:r>
        <w:rPr>
          <w:rFonts w:cstheme="minorHAnsi"/>
          <w:sz w:val="18"/>
          <w:szCs w:val="18"/>
        </w:rPr>
        <w:t xml:space="preserve"> </w:t>
      </w:r>
      <w:r w:rsidRPr="0001026E">
        <w:rPr>
          <w:rFonts w:cstheme="minorHAnsi"/>
          <w:sz w:val="18"/>
          <w:szCs w:val="18"/>
        </w:rPr>
        <w:t>of the Federal Reserve System, and the</w:t>
      </w:r>
      <w:r>
        <w:rPr>
          <w:rFonts w:cstheme="minorHAnsi"/>
          <w:sz w:val="18"/>
          <w:szCs w:val="18"/>
        </w:rPr>
        <w:t xml:space="preserve"> </w:t>
      </w:r>
      <w:r w:rsidRPr="0001026E">
        <w:rPr>
          <w:rFonts w:cstheme="minorHAnsi"/>
          <w:sz w:val="18"/>
          <w:szCs w:val="18"/>
        </w:rPr>
        <w:t>Federal Deposit Insurance Corporation</w:t>
      </w:r>
      <w:r>
        <w:rPr>
          <w:rFonts w:cstheme="minorHAnsi"/>
          <w:sz w:val="18"/>
          <w:szCs w:val="18"/>
        </w:rPr>
        <w:t xml:space="preserve"> </w:t>
      </w:r>
      <w:r w:rsidRPr="0001026E">
        <w:rPr>
          <w:rFonts w:cstheme="minorHAnsi"/>
          <w:sz w:val="18"/>
          <w:szCs w:val="18"/>
        </w:rPr>
        <w:t>(collectively, the agencies) are inviting</w:t>
      </w:r>
      <w:r>
        <w:rPr>
          <w:rFonts w:cstheme="minorHAnsi"/>
          <w:sz w:val="18"/>
          <w:szCs w:val="18"/>
        </w:rPr>
        <w:t xml:space="preserve"> </w:t>
      </w:r>
      <w:r w:rsidRPr="0001026E">
        <w:rPr>
          <w:rFonts w:cstheme="minorHAnsi"/>
          <w:sz w:val="18"/>
          <w:szCs w:val="18"/>
        </w:rPr>
        <w:t>public comment on a joint proposal to</w:t>
      </w:r>
      <w:r>
        <w:rPr>
          <w:rFonts w:cstheme="minorHAnsi"/>
          <w:sz w:val="18"/>
          <w:szCs w:val="18"/>
        </w:rPr>
        <w:t xml:space="preserve"> </w:t>
      </w:r>
      <w:r w:rsidRPr="0001026E">
        <w:rPr>
          <w:rFonts w:cstheme="minorHAnsi"/>
          <w:sz w:val="18"/>
          <w:szCs w:val="18"/>
        </w:rPr>
        <w:t>address changes to U.S. generally</w:t>
      </w:r>
      <w:r>
        <w:rPr>
          <w:rFonts w:cstheme="minorHAnsi"/>
          <w:sz w:val="18"/>
          <w:szCs w:val="18"/>
        </w:rPr>
        <w:t xml:space="preserve"> </w:t>
      </w:r>
      <w:r w:rsidRPr="0001026E">
        <w:rPr>
          <w:rFonts w:cstheme="minorHAnsi"/>
          <w:sz w:val="18"/>
          <w:szCs w:val="18"/>
        </w:rPr>
        <w:t>accepted accounting principles (U.S.</w:t>
      </w:r>
      <w:r>
        <w:rPr>
          <w:rFonts w:cstheme="minorHAnsi"/>
          <w:sz w:val="18"/>
          <w:szCs w:val="18"/>
        </w:rPr>
        <w:t xml:space="preserve"> </w:t>
      </w:r>
      <w:r w:rsidRPr="0001026E">
        <w:rPr>
          <w:rFonts w:cstheme="minorHAnsi"/>
          <w:sz w:val="18"/>
          <w:szCs w:val="18"/>
        </w:rPr>
        <w:t>GAAP) described in Accounting</w:t>
      </w:r>
      <w:r>
        <w:rPr>
          <w:rFonts w:cstheme="minorHAnsi"/>
          <w:sz w:val="18"/>
          <w:szCs w:val="18"/>
        </w:rPr>
        <w:t xml:space="preserve"> </w:t>
      </w:r>
      <w:r w:rsidRPr="0001026E">
        <w:rPr>
          <w:rFonts w:cstheme="minorHAnsi"/>
          <w:sz w:val="18"/>
          <w:szCs w:val="18"/>
        </w:rPr>
        <w:t>Standards Update No. 2016–13, Topic</w:t>
      </w:r>
      <w:r>
        <w:rPr>
          <w:rFonts w:cstheme="minorHAnsi"/>
          <w:sz w:val="18"/>
          <w:szCs w:val="18"/>
        </w:rPr>
        <w:t xml:space="preserve"> </w:t>
      </w:r>
      <w:r w:rsidRPr="0001026E">
        <w:rPr>
          <w:rFonts w:cstheme="minorHAnsi"/>
          <w:sz w:val="18"/>
          <w:szCs w:val="18"/>
        </w:rPr>
        <w:t>326, Financial Instruments—Credit</w:t>
      </w:r>
      <w:r>
        <w:rPr>
          <w:rFonts w:cstheme="minorHAnsi"/>
          <w:sz w:val="18"/>
          <w:szCs w:val="18"/>
        </w:rPr>
        <w:t xml:space="preserve"> </w:t>
      </w:r>
      <w:r w:rsidRPr="0001026E">
        <w:rPr>
          <w:rFonts w:cstheme="minorHAnsi"/>
          <w:sz w:val="18"/>
          <w:szCs w:val="18"/>
        </w:rPr>
        <w:t>Losses (ASU 2016–13), including</w:t>
      </w:r>
      <w:r>
        <w:rPr>
          <w:rFonts w:cstheme="minorHAnsi"/>
          <w:sz w:val="18"/>
          <w:szCs w:val="18"/>
        </w:rPr>
        <w:t xml:space="preserve"> </w:t>
      </w:r>
      <w:r w:rsidRPr="0001026E">
        <w:rPr>
          <w:rFonts w:cstheme="minorHAnsi"/>
          <w:sz w:val="18"/>
          <w:szCs w:val="18"/>
        </w:rPr>
        <w:t>banking organizations’ implementation</w:t>
      </w:r>
      <w:r>
        <w:rPr>
          <w:rFonts w:cstheme="minorHAnsi"/>
          <w:sz w:val="18"/>
          <w:szCs w:val="18"/>
        </w:rPr>
        <w:t xml:space="preserve"> </w:t>
      </w:r>
      <w:r w:rsidRPr="0001026E">
        <w:rPr>
          <w:rFonts w:cstheme="minorHAnsi"/>
          <w:sz w:val="18"/>
          <w:szCs w:val="18"/>
        </w:rPr>
        <w:t>of the current expected credit losses</w:t>
      </w:r>
      <w:r>
        <w:rPr>
          <w:rFonts w:cstheme="minorHAnsi"/>
          <w:sz w:val="18"/>
          <w:szCs w:val="18"/>
        </w:rPr>
        <w:t xml:space="preserve"> </w:t>
      </w:r>
      <w:r w:rsidRPr="0001026E">
        <w:rPr>
          <w:rFonts w:cstheme="minorHAnsi"/>
          <w:sz w:val="18"/>
          <w:szCs w:val="18"/>
        </w:rPr>
        <w:t>methodology.</w:t>
      </w:r>
      <w:r w:rsidRPr="0001026E">
        <w:t xml:space="preserve"> </w:t>
      </w:r>
      <w:r w:rsidRPr="0001026E">
        <w:rPr>
          <w:rFonts w:cstheme="minorHAnsi"/>
          <w:sz w:val="18"/>
          <w:szCs w:val="18"/>
        </w:rPr>
        <w:t xml:space="preserve">Specifically, the proposal would revise the agencies’ regulatory capital rules to identify which credit loss allowances under the new accounting standard are eligible for inclusion in regulatory capital and to provide banking organizations the option to phase in the day-one adverse effects on regulatory capital that </w:t>
      </w:r>
      <w:r w:rsidR="000B1726">
        <w:rPr>
          <w:rFonts w:cstheme="minorHAnsi"/>
          <w:sz w:val="18"/>
          <w:szCs w:val="18"/>
        </w:rPr>
        <w:t>June</w:t>
      </w:r>
      <w:r w:rsidRPr="0001026E">
        <w:rPr>
          <w:rFonts w:cstheme="minorHAnsi"/>
          <w:sz w:val="18"/>
          <w:szCs w:val="18"/>
        </w:rPr>
        <w:t xml:space="preserve"> result from the adoption of the new accounting standard. The proposal also would amend certain regulatory disclosure requirements to reflect applicable changes to U.S. GAAP covered under ASU 2016–13. In addition, the agencies are proposing to make amendments to their stress testing regulations so that covered banking organizations that have adopted ASU 2016–13 would not include the effect of ASU 2016–13 on their provisioning for purposes of stress testing until the 2020 stress test cycle. Finally, the agencies are proposing to make conforming amendments to their other regulations that reference credit loss allowances.</w:t>
      </w:r>
      <w:r>
        <w:rPr>
          <w:rFonts w:cstheme="minorHAnsi"/>
          <w:sz w:val="18"/>
          <w:szCs w:val="18"/>
        </w:rPr>
        <w:t xml:space="preserve"> </w:t>
      </w:r>
      <w:r w:rsidRPr="0001026E">
        <w:t xml:space="preserve"> </w:t>
      </w:r>
      <w:r w:rsidRPr="0001026E">
        <w:rPr>
          <w:rFonts w:cstheme="minorHAnsi"/>
          <w:sz w:val="18"/>
          <w:szCs w:val="18"/>
          <w:u w:val="single"/>
        </w:rPr>
        <w:t xml:space="preserve">The Notice of Proposed Rulemaking was published in the Federal Register on </w:t>
      </w:r>
      <w:r w:rsidR="000B1726">
        <w:rPr>
          <w:rFonts w:cstheme="minorHAnsi"/>
          <w:sz w:val="18"/>
          <w:szCs w:val="18"/>
          <w:u w:val="single"/>
        </w:rPr>
        <w:t>June</w:t>
      </w:r>
      <w:r w:rsidRPr="0001026E">
        <w:rPr>
          <w:rFonts w:cstheme="minorHAnsi"/>
          <w:sz w:val="18"/>
          <w:szCs w:val="18"/>
          <w:u w:val="single"/>
        </w:rPr>
        <w:t xml:space="preserve"> 14, 2018, and comments must be received by July 13, 2018.</w:t>
      </w:r>
    </w:p>
    <w:p w:rsidR="00063F3D" w:rsidRPr="00436AD8" w:rsidRDefault="00063F3D" w:rsidP="00063F3D">
      <w:pPr>
        <w:pStyle w:val="CCTOCHeading"/>
        <w:spacing w:line="259" w:lineRule="auto"/>
        <w:rPr>
          <w:rFonts w:asciiTheme="minorHAnsi" w:hAnsiTheme="minorHAnsi" w:cstheme="minorHAnsi"/>
        </w:rPr>
      </w:pPr>
      <w:bookmarkStart w:id="50" w:name="_Toc482863500"/>
      <w:bookmarkStart w:id="51" w:name="_Toc464471335"/>
      <w:bookmarkStart w:id="52" w:name="_Toc504138800"/>
      <w:bookmarkStart w:id="53" w:name="_Toc517254839"/>
      <w:bookmarkStart w:id="54" w:name="_Hlk514920440"/>
      <w:r w:rsidRPr="00436AD8">
        <w:rPr>
          <w:rFonts w:asciiTheme="minorHAnsi" w:hAnsiTheme="minorHAnsi" w:cstheme="minorHAnsi"/>
        </w:rPr>
        <w:t>Selected federal rules – upcoming effective dates</w:t>
      </w:r>
      <w:bookmarkEnd w:id="50"/>
      <w:bookmarkEnd w:id="51"/>
      <w:bookmarkEnd w:id="52"/>
      <w:bookmarkEnd w:id="53"/>
    </w:p>
    <w:bookmarkEnd w:id="54"/>
    <w:p w:rsidR="00063F3D" w:rsidRPr="00436AD8" w:rsidRDefault="00063F3D" w:rsidP="00063F3D">
      <w:pPr>
        <w:pStyle w:val="CCIssuance"/>
        <w:rPr>
          <w:rFonts w:asciiTheme="minorHAnsi" w:hAnsiTheme="minorHAnsi" w:cstheme="minorHAnsi"/>
          <w:b w:val="0"/>
          <w:color w:val="auto"/>
          <w:sz w:val="22"/>
          <w:szCs w:val="22"/>
        </w:rPr>
      </w:pPr>
      <w:r w:rsidRPr="00436AD8">
        <w:rPr>
          <w:rFonts w:asciiTheme="minorHAnsi" w:hAnsiTheme="minorHAnsi" w:cstheme="minorHAnsi"/>
          <w:b w:val="0"/>
          <w:sz w:val="22"/>
          <w:szCs w:val="22"/>
        </w:rPr>
        <w:t>Not all final rules are included. Only rules affecting community banks are reported, but we make no guarantees that these are all the final rules your bank needs to know about.</w:t>
      </w:r>
    </w:p>
    <w:p w:rsidR="00063F3D" w:rsidRPr="00436AD8" w:rsidRDefault="00063F3D" w:rsidP="00063F3D">
      <w:pPr>
        <w:pBdr>
          <w:bottom w:val="single" w:sz="12" w:space="1" w:color="auto"/>
        </w:pBdr>
        <w:ind w:left="1440" w:hanging="1440"/>
        <w:rPr>
          <w:rFonts w:cstheme="minorHAnsi"/>
          <w:b/>
          <w:sz w:val="18"/>
          <w:szCs w:val="18"/>
        </w:rPr>
      </w:pPr>
      <w:r w:rsidRPr="00436AD8">
        <w:rPr>
          <w:rFonts w:cstheme="minorHAnsi"/>
          <w:b/>
          <w:sz w:val="18"/>
          <w:szCs w:val="18"/>
        </w:rPr>
        <w:t xml:space="preserve">EFFECTIVE </w:t>
      </w:r>
    </w:p>
    <w:p w:rsidR="00063F3D" w:rsidRPr="00436AD8" w:rsidRDefault="00063F3D" w:rsidP="00063F3D">
      <w:pPr>
        <w:pBdr>
          <w:bottom w:val="single" w:sz="12" w:space="1" w:color="auto"/>
        </w:pBdr>
        <w:ind w:left="1440" w:hanging="1440"/>
        <w:rPr>
          <w:rFonts w:cstheme="minorHAnsi"/>
          <w:b/>
          <w:sz w:val="18"/>
          <w:szCs w:val="18"/>
        </w:rPr>
      </w:pPr>
      <w:r w:rsidRPr="00436AD8">
        <w:rPr>
          <w:rFonts w:cstheme="minorHAnsi"/>
          <w:b/>
          <w:sz w:val="18"/>
          <w:szCs w:val="18"/>
        </w:rPr>
        <w:t>DATE:</w:t>
      </w:r>
      <w:r w:rsidRPr="00436AD8">
        <w:rPr>
          <w:rFonts w:cstheme="minorHAnsi"/>
          <w:b/>
          <w:sz w:val="18"/>
          <w:szCs w:val="18"/>
        </w:rPr>
        <w:tab/>
        <w:t>SUMMARY OF FINAL RULE:</w:t>
      </w:r>
    </w:p>
    <w:p w:rsidR="00063F3D" w:rsidRPr="00EE616A" w:rsidRDefault="00063F3D" w:rsidP="00063F3D">
      <w:pPr>
        <w:pStyle w:val="CCComment"/>
        <w:rPr>
          <w:rFonts w:asciiTheme="minorHAnsi" w:hAnsiTheme="minorHAnsi" w:cstheme="minorHAnsi"/>
          <w:b w:val="0"/>
          <w:color w:val="auto"/>
          <w:sz w:val="18"/>
          <w:szCs w:val="18"/>
        </w:rPr>
      </w:pPr>
    </w:p>
    <w:p w:rsidR="00253DFB" w:rsidRDefault="00253DFB" w:rsidP="00CB4C12">
      <w:pPr>
        <w:pStyle w:val="CCComment"/>
        <w:ind w:left="1440" w:hanging="1440"/>
        <w:rPr>
          <w:rFonts w:asciiTheme="minorHAnsi" w:hAnsiTheme="minorHAnsi" w:cstheme="minorHAnsi"/>
          <w:b w:val="0"/>
          <w:i w:val="0"/>
          <w:color w:val="auto"/>
          <w:sz w:val="18"/>
          <w:szCs w:val="18"/>
        </w:rPr>
      </w:pPr>
      <w:r>
        <w:rPr>
          <w:rFonts w:asciiTheme="minorHAnsi" w:hAnsiTheme="minorHAnsi" w:cstheme="minorHAnsi"/>
          <w:b w:val="0"/>
          <w:i w:val="0"/>
          <w:color w:val="auto"/>
          <w:sz w:val="18"/>
          <w:szCs w:val="18"/>
        </w:rPr>
        <w:t>01.01.2018</w:t>
      </w:r>
      <w:r>
        <w:rPr>
          <w:rFonts w:asciiTheme="minorHAnsi" w:hAnsiTheme="minorHAnsi" w:cstheme="minorHAnsi"/>
          <w:b w:val="0"/>
          <w:i w:val="0"/>
          <w:color w:val="auto"/>
          <w:sz w:val="18"/>
          <w:szCs w:val="18"/>
        </w:rPr>
        <w:tab/>
      </w:r>
      <w:hyperlink r:id="rId34" w:history="1">
        <w:r w:rsidRPr="00253DFB">
          <w:rPr>
            <w:rStyle w:val="Hyperlink"/>
            <w:rFonts w:asciiTheme="minorHAnsi" w:hAnsiTheme="minorHAnsi" w:cstheme="minorHAnsi"/>
            <w:b w:val="0"/>
            <w:i w:val="0"/>
            <w:sz w:val="18"/>
            <w:szCs w:val="18"/>
          </w:rPr>
          <w:t>Regulatory Capital Rules: Retention of Certain Existing Transition Provisions for Banking Organizations That Are Not Subject to Advanced Approaches Capital Rules.</w:t>
        </w:r>
      </w:hyperlink>
      <w:r>
        <w:rPr>
          <w:rFonts w:asciiTheme="minorHAnsi" w:hAnsiTheme="minorHAnsi" w:cstheme="minorHAnsi"/>
          <w:b w:val="0"/>
          <w:i w:val="0"/>
          <w:color w:val="auto"/>
          <w:sz w:val="18"/>
          <w:szCs w:val="18"/>
        </w:rPr>
        <w:t xml:space="preserve"> </w:t>
      </w:r>
      <w:r w:rsidRPr="00253DFB">
        <w:rPr>
          <w:rFonts w:asciiTheme="minorHAnsi" w:hAnsiTheme="minorHAnsi" w:cstheme="minorHAnsi"/>
          <w:b w:val="0"/>
          <w:i w:val="0"/>
          <w:color w:val="auto"/>
          <w:sz w:val="18"/>
          <w:szCs w:val="18"/>
        </w:rPr>
        <w:t xml:space="preserve">The Office of the Comptroller of the Currency, the Board of Governors of the Federal Reserve System, and the Federal Deposit Insurance Corporation (collectively, the agencies) are adopting a final rule to extend the regulatory capital treatment applicable during 2017 under the regulatory capital rules (capital rules) for certain items. These items include regulatory capital deductions, risk weights, and certain minority interest limitations. The relief provided under the final rule applies to banking organizations that are not subject to the capital rules' advanced approaches (non-advanced approaches banking organizations). Specifically, for these banking organizations, the final rule extends the current regulatory capital treatment of mortgage servicing assets, deferred tax assets arising from temporary differences that could not be realized through net operating loss carrybacks, significant investments in the capital of unconsolidated financial institutions in the form of common stock, non-significant investments in the capital of unconsolidated financial institutions, significant investments in the capital of unconsolidated financial institutions that are not in the form of common stock, and common equity tier 1 minority interest, tier 1 minority interest, and total capital minority interest exceeding the capital rules' minority interest limitations. Under the final rule, advanced approaches banking organizations continue to be subject to the transition provisions established by the capital rules for the above capital items. </w:t>
      </w:r>
      <w:r w:rsidRPr="009B04F9">
        <w:rPr>
          <w:rFonts w:asciiTheme="minorHAnsi" w:hAnsiTheme="minorHAnsi" w:cstheme="minorHAnsi"/>
          <w:b w:val="0"/>
          <w:i w:val="0"/>
          <w:color w:val="auto"/>
          <w:sz w:val="18"/>
          <w:szCs w:val="18"/>
          <w:u w:val="single"/>
        </w:rPr>
        <w:t>Therefore, for advanced approaches banking organizations, their transition schedule is unchanged, and advanced approaches banking organizations are required to apply the capital rules' fully phased-in treatment for these capital items beginning January 1, 2018.</w:t>
      </w:r>
    </w:p>
    <w:p w:rsidR="00CB4C12" w:rsidRDefault="00CB4C12" w:rsidP="00CB4C12">
      <w:pPr>
        <w:pStyle w:val="CCComment"/>
        <w:ind w:left="1440" w:hanging="1440"/>
        <w:rPr>
          <w:rFonts w:asciiTheme="minorHAnsi" w:hAnsiTheme="minorHAnsi" w:cstheme="minorHAnsi"/>
          <w:b w:val="0"/>
          <w:i w:val="0"/>
          <w:color w:val="auto"/>
          <w:sz w:val="18"/>
          <w:szCs w:val="18"/>
        </w:rPr>
      </w:pPr>
      <w:r>
        <w:rPr>
          <w:rFonts w:asciiTheme="minorHAnsi" w:hAnsiTheme="minorHAnsi" w:cstheme="minorHAnsi"/>
          <w:b w:val="0"/>
          <w:i w:val="0"/>
          <w:color w:val="auto"/>
          <w:sz w:val="18"/>
          <w:szCs w:val="18"/>
        </w:rPr>
        <w:t>05.16.2018</w:t>
      </w:r>
      <w:r>
        <w:rPr>
          <w:rFonts w:asciiTheme="minorHAnsi" w:hAnsiTheme="minorHAnsi" w:cstheme="minorHAnsi"/>
          <w:b w:val="0"/>
          <w:i w:val="0"/>
          <w:color w:val="auto"/>
          <w:sz w:val="18"/>
          <w:szCs w:val="18"/>
        </w:rPr>
        <w:tab/>
      </w:r>
      <w:hyperlink r:id="rId35" w:history="1">
        <w:r w:rsidRPr="00CB4C12">
          <w:rPr>
            <w:rStyle w:val="Hyperlink"/>
            <w:rFonts w:asciiTheme="minorHAnsi" w:hAnsiTheme="minorHAnsi" w:cstheme="minorHAnsi"/>
            <w:b w:val="0"/>
            <w:sz w:val="18"/>
            <w:szCs w:val="18"/>
          </w:rPr>
          <w:t>Beneficial Ownership Requirements for Legal Entity Customers of Certain Financial Products and Services with Automatic Rollovers or Renewals</w:t>
        </w:r>
      </w:hyperlink>
      <w:r w:rsidRPr="00CB4C12">
        <w:rPr>
          <w:rFonts w:asciiTheme="minorHAnsi" w:hAnsiTheme="minorHAnsi" w:cstheme="minorHAnsi"/>
          <w:b w:val="0"/>
          <w:i w:val="0"/>
          <w:color w:val="auto"/>
          <w:sz w:val="18"/>
          <w:szCs w:val="18"/>
        </w:rPr>
        <w:t>.</w:t>
      </w:r>
      <w:r>
        <w:rPr>
          <w:rFonts w:asciiTheme="minorHAnsi" w:hAnsiTheme="minorHAnsi" w:cstheme="minorHAnsi"/>
          <w:b w:val="0"/>
          <w:i w:val="0"/>
          <w:color w:val="auto"/>
          <w:sz w:val="18"/>
          <w:szCs w:val="18"/>
        </w:rPr>
        <w:t xml:space="preserve"> </w:t>
      </w:r>
      <w:r w:rsidRPr="00CB4C12">
        <w:rPr>
          <w:rFonts w:asciiTheme="minorHAnsi" w:hAnsiTheme="minorHAnsi" w:cstheme="minorHAnsi"/>
          <w:b w:val="0"/>
          <w:i w:val="0"/>
          <w:color w:val="auto"/>
          <w:sz w:val="18"/>
          <w:szCs w:val="18"/>
        </w:rPr>
        <w:t xml:space="preserve">The Financial Crimes Enforcement Network (FinCEN) is issuing this ruling to provide a 90-day limited exceptive relief to covered financial institutions from the obligations of the Beneficial Ownership Requirements for Legal Entity Customers (31 CFR § 1010.230) (Beneficial Ownership Rule) with respect to certain financial products and services that automatically rollover or renew (i.e., certificate of deposit (CD) or loan accounts) and were established before the Beneficial Ownership Rule’s Applicability Date, </w:t>
      </w:r>
      <w:r w:rsidR="000B1726">
        <w:rPr>
          <w:rFonts w:asciiTheme="minorHAnsi" w:hAnsiTheme="minorHAnsi" w:cstheme="minorHAnsi"/>
          <w:b w:val="0"/>
          <w:i w:val="0"/>
          <w:color w:val="auto"/>
          <w:sz w:val="18"/>
          <w:szCs w:val="18"/>
        </w:rPr>
        <w:t>June</w:t>
      </w:r>
      <w:r w:rsidRPr="00CB4C12">
        <w:rPr>
          <w:rFonts w:asciiTheme="minorHAnsi" w:hAnsiTheme="minorHAnsi" w:cstheme="minorHAnsi"/>
          <w:b w:val="0"/>
          <w:i w:val="0"/>
          <w:color w:val="auto"/>
          <w:sz w:val="18"/>
          <w:szCs w:val="18"/>
        </w:rPr>
        <w:t xml:space="preserve"> 11, 2018. </w:t>
      </w:r>
      <w:r w:rsidRPr="00203AD8">
        <w:rPr>
          <w:rFonts w:asciiTheme="minorHAnsi" w:hAnsiTheme="minorHAnsi" w:cstheme="minorHAnsi"/>
          <w:b w:val="0"/>
          <w:i w:val="0"/>
          <w:color w:val="auto"/>
          <w:sz w:val="18"/>
          <w:szCs w:val="18"/>
          <w:u w:val="single"/>
        </w:rPr>
        <w:t xml:space="preserve">This exception begins, retroactively, on </w:t>
      </w:r>
      <w:r w:rsidR="000B1726">
        <w:rPr>
          <w:rFonts w:asciiTheme="minorHAnsi" w:hAnsiTheme="minorHAnsi" w:cstheme="minorHAnsi"/>
          <w:b w:val="0"/>
          <w:i w:val="0"/>
          <w:color w:val="auto"/>
          <w:sz w:val="18"/>
          <w:szCs w:val="18"/>
          <w:u w:val="single"/>
        </w:rPr>
        <w:t>June</w:t>
      </w:r>
      <w:r w:rsidRPr="00203AD8">
        <w:rPr>
          <w:rFonts w:asciiTheme="minorHAnsi" w:hAnsiTheme="minorHAnsi" w:cstheme="minorHAnsi"/>
          <w:b w:val="0"/>
          <w:i w:val="0"/>
          <w:color w:val="auto"/>
          <w:sz w:val="18"/>
          <w:szCs w:val="18"/>
          <w:u w:val="single"/>
        </w:rPr>
        <w:t xml:space="preserve"> 11, 2018, and will expire on August 9, 2018</w:t>
      </w:r>
      <w:r w:rsidRPr="00CB4C12">
        <w:rPr>
          <w:rFonts w:asciiTheme="minorHAnsi" w:hAnsiTheme="minorHAnsi" w:cstheme="minorHAnsi"/>
          <w:b w:val="0"/>
          <w:i w:val="0"/>
          <w:color w:val="auto"/>
          <w:sz w:val="18"/>
          <w:szCs w:val="18"/>
        </w:rPr>
        <w:t xml:space="preserve">. During this time, FinCEN will determine whether and to what extent additional exceptive relief </w:t>
      </w:r>
      <w:r w:rsidR="000B1726">
        <w:rPr>
          <w:rFonts w:asciiTheme="minorHAnsi" w:hAnsiTheme="minorHAnsi" w:cstheme="minorHAnsi"/>
          <w:b w:val="0"/>
          <w:i w:val="0"/>
          <w:color w:val="auto"/>
          <w:sz w:val="18"/>
          <w:szCs w:val="18"/>
        </w:rPr>
        <w:t>June</w:t>
      </w:r>
      <w:r w:rsidRPr="00CB4C12">
        <w:rPr>
          <w:rFonts w:asciiTheme="minorHAnsi" w:hAnsiTheme="minorHAnsi" w:cstheme="minorHAnsi"/>
          <w:b w:val="0"/>
          <w:i w:val="0"/>
          <w:color w:val="auto"/>
          <w:sz w:val="18"/>
          <w:szCs w:val="18"/>
        </w:rPr>
        <w:t xml:space="preserve"> be appropriate for such financial products and services that were established before </w:t>
      </w:r>
      <w:r w:rsidR="000B1726">
        <w:rPr>
          <w:rFonts w:asciiTheme="minorHAnsi" w:hAnsiTheme="minorHAnsi" w:cstheme="minorHAnsi"/>
          <w:b w:val="0"/>
          <w:i w:val="0"/>
          <w:color w:val="auto"/>
          <w:sz w:val="18"/>
          <w:szCs w:val="18"/>
        </w:rPr>
        <w:t>June</w:t>
      </w:r>
      <w:r w:rsidRPr="00CB4C12">
        <w:rPr>
          <w:rFonts w:asciiTheme="minorHAnsi" w:hAnsiTheme="minorHAnsi" w:cstheme="minorHAnsi"/>
          <w:b w:val="0"/>
          <w:i w:val="0"/>
          <w:color w:val="auto"/>
          <w:sz w:val="18"/>
          <w:szCs w:val="18"/>
        </w:rPr>
        <w:t xml:space="preserve"> 11, 2018, but are expected to rollover or renew after such date.</w:t>
      </w:r>
    </w:p>
    <w:p w:rsidR="00921198" w:rsidRPr="00436AD8" w:rsidRDefault="00921198" w:rsidP="00063F3D">
      <w:pPr>
        <w:pStyle w:val="CCComment"/>
        <w:ind w:left="1440" w:hanging="1440"/>
        <w:rPr>
          <w:rFonts w:asciiTheme="minorHAnsi" w:hAnsiTheme="minorHAnsi" w:cstheme="minorHAnsi"/>
          <w:b w:val="0"/>
          <w:i w:val="0"/>
          <w:color w:val="auto"/>
          <w:sz w:val="18"/>
          <w:szCs w:val="18"/>
        </w:rPr>
      </w:pPr>
      <w:r w:rsidRPr="00921198">
        <w:rPr>
          <w:rFonts w:asciiTheme="minorHAnsi" w:hAnsiTheme="minorHAnsi" w:cstheme="minorHAnsi"/>
          <w:b w:val="0"/>
          <w:i w:val="0"/>
          <w:color w:val="auto"/>
          <w:sz w:val="18"/>
          <w:szCs w:val="18"/>
        </w:rPr>
        <w:t>06.01.2018</w:t>
      </w:r>
      <w:r w:rsidRPr="00921198">
        <w:rPr>
          <w:rFonts w:asciiTheme="minorHAnsi" w:hAnsiTheme="minorHAnsi" w:cstheme="minorHAnsi"/>
          <w:b w:val="0"/>
          <w:i w:val="0"/>
          <w:color w:val="auto"/>
          <w:sz w:val="18"/>
          <w:szCs w:val="18"/>
        </w:rPr>
        <w:tab/>
      </w:r>
      <w:hyperlink r:id="rId36" w:history="1">
        <w:r w:rsidRPr="00921198">
          <w:rPr>
            <w:rStyle w:val="Hyperlink"/>
            <w:rFonts w:asciiTheme="minorHAnsi" w:hAnsiTheme="minorHAnsi" w:cstheme="minorHAnsi"/>
            <w:b w:val="0"/>
            <w:sz w:val="18"/>
            <w:szCs w:val="18"/>
          </w:rPr>
          <w:t>Federal Mortgage Disclosure Requirements Under the Truth in Lending Act (Regulation Z)</w:t>
        </w:r>
        <w:r w:rsidRPr="00921198">
          <w:rPr>
            <w:rStyle w:val="Hyperlink"/>
            <w:rFonts w:asciiTheme="minorHAnsi" w:hAnsiTheme="minorHAnsi" w:cstheme="minorHAnsi"/>
            <w:sz w:val="18"/>
            <w:szCs w:val="18"/>
          </w:rPr>
          <w:t>.</w:t>
        </w:r>
      </w:hyperlink>
      <w:r>
        <w:rPr>
          <w:rFonts w:asciiTheme="minorHAnsi" w:hAnsiTheme="minorHAnsi" w:cstheme="minorHAnsi"/>
          <w:b w:val="0"/>
          <w:i w:val="0"/>
          <w:color w:val="auto"/>
          <w:sz w:val="18"/>
          <w:szCs w:val="18"/>
        </w:rPr>
        <w:t xml:space="preserve"> </w:t>
      </w:r>
      <w:r w:rsidRPr="00921198">
        <w:rPr>
          <w:rFonts w:asciiTheme="minorHAnsi" w:hAnsiTheme="minorHAnsi" w:cstheme="minorHAnsi"/>
          <w:b w:val="0"/>
          <w:i w:val="0"/>
          <w:color w:val="auto"/>
          <w:sz w:val="18"/>
          <w:szCs w:val="18"/>
        </w:rPr>
        <w:t xml:space="preserve">The Bureau of Consumer Financial Protection (Bureau) is amending Federal mortgage disclosure requirements under the Real Estate Settlement Procedures Act </w:t>
      </w:r>
      <w:r w:rsidRPr="00921198">
        <w:rPr>
          <w:rFonts w:asciiTheme="minorHAnsi" w:hAnsiTheme="minorHAnsi" w:cstheme="minorHAnsi"/>
          <w:b w:val="0"/>
          <w:i w:val="0"/>
          <w:color w:val="auto"/>
          <w:sz w:val="18"/>
          <w:szCs w:val="18"/>
        </w:rPr>
        <w:lastRenderedPageBreak/>
        <w:t xml:space="preserve">(RESPA) and the Truth in Lending Act (TILA) that are implemented in Regulation Z. The amendments relate to when a creditor </w:t>
      </w:r>
      <w:r w:rsidR="000B1726">
        <w:rPr>
          <w:rFonts w:asciiTheme="minorHAnsi" w:hAnsiTheme="minorHAnsi" w:cstheme="minorHAnsi"/>
          <w:b w:val="0"/>
          <w:i w:val="0"/>
          <w:color w:val="auto"/>
          <w:sz w:val="18"/>
          <w:szCs w:val="18"/>
        </w:rPr>
        <w:t>June</w:t>
      </w:r>
      <w:r w:rsidRPr="00921198">
        <w:rPr>
          <w:rFonts w:asciiTheme="minorHAnsi" w:hAnsiTheme="minorHAnsi" w:cstheme="minorHAnsi"/>
          <w:b w:val="0"/>
          <w:i w:val="0"/>
          <w:color w:val="auto"/>
          <w:sz w:val="18"/>
          <w:szCs w:val="18"/>
        </w:rPr>
        <w:t xml:space="preserve"> compare charges paid by or imposed on the consumer to amounts disclosed on a Closing Disclosure, instead of a Loan Estimate, to determine if an estimated closing cost was disclosed in good faith.</w:t>
      </w:r>
      <w:r>
        <w:rPr>
          <w:rFonts w:asciiTheme="minorHAnsi" w:hAnsiTheme="minorHAnsi" w:cstheme="minorHAnsi"/>
          <w:b w:val="0"/>
          <w:i w:val="0"/>
          <w:color w:val="auto"/>
          <w:sz w:val="18"/>
          <w:szCs w:val="18"/>
        </w:rPr>
        <w:t xml:space="preserve"> </w:t>
      </w:r>
    </w:p>
    <w:p w:rsidR="00063F3D" w:rsidRPr="00436AD8" w:rsidRDefault="00063F3D" w:rsidP="00063F3D">
      <w:pPr>
        <w:pStyle w:val="CCComment"/>
        <w:ind w:left="1440" w:hanging="1440"/>
        <w:rPr>
          <w:rFonts w:asciiTheme="minorHAnsi" w:hAnsiTheme="minorHAnsi" w:cstheme="minorHAnsi"/>
          <w:b w:val="0"/>
          <w:i w:val="0"/>
          <w:color w:val="auto"/>
          <w:sz w:val="18"/>
          <w:szCs w:val="18"/>
        </w:rPr>
      </w:pPr>
      <w:r w:rsidRPr="00436AD8">
        <w:rPr>
          <w:rFonts w:asciiTheme="minorHAnsi" w:hAnsiTheme="minorHAnsi" w:cstheme="minorHAnsi"/>
          <w:b w:val="0"/>
          <w:i w:val="0"/>
          <w:color w:val="auto"/>
          <w:sz w:val="18"/>
          <w:szCs w:val="18"/>
        </w:rPr>
        <w:t>07.01.2018</w:t>
      </w:r>
      <w:r w:rsidRPr="00436AD8">
        <w:rPr>
          <w:rFonts w:asciiTheme="minorHAnsi" w:hAnsiTheme="minorHAnsi" w:cstheme="minorHAnsi"/>
          <w:b w:val="0"/>
          <w:i w:val="0"/>
          <w:color w:val="auto"/>
          <w:sz w:val="18"/>
          <w:szCs w:val="18"/>
        </w:rPr>
        <w:tab/>
      </w:r>
      <w:hyperlink r:id="rId37" w:history="1">
        <w:r w:rsidRPr="00436AD8">
          <w:rPr>
            <w:rStyle w:val="Hyperlink"/>
            <w:rFonts w:asciiTheme="minorHAnsi" w:hAnsiTheme="minorHAnsi" w:cstheme="minorHAnsi"/>
            <w:b w:val="0"/>
            <w:sz w:val="18"/>
            <w:szCs w:val="18"/>
          </w:rPr>
          <w:t>Availability of Funds and Collection of Checks</w:t>
        </w:r>
      </w:hyperlink>
      <w:r w:rsidRPr="00436AD8">
        <w:rPr>
          <w:rFonts w:asciiTheme="minorHAnsi" w:hAnsiTheme="minorHAnsi" w:cstheme="minorHAnsi"/>
          <w:b w:val="0"/>
          <w:i w:val="0"/>
          <w:color w:val="auto"/>
          <w:sz w:val="18"/>
          <w:szCs w:val="18"/>
        </w:rPr>
        <w:t xml:space="preserve"> The Board is amending subparts A, C, and D of Regulation CC, Availability of Funds and Collection of Checks (12 CFR part 229), which implements the Expedited Funds Availability Act of 1987 (EFA Act), the Check Clearing for the 21st Century Act of 2003 (Check 21 Act), and the official staff commentary to the regulation.1 In the final rule, the Board has modified the current check collection and return requirements to reflect the virtually all-electronic check collection and return environment and to encourage all depositary banks to receive, and paying banks to send, returned checks electronically. The Board has retained, without change, the current same-day settlement rule for paper checks. The Board is also applying Regulation CC</w:t>
      </w:r>
      <w:r>
        <w:rPr>
          <w:rFonts w:asciiTheme="minorHAnsi" w:hAnsiTheme="minorHAnsi" w:cstheme="minorHAnsi"/>
          <w:b w:val="0"/>
          <w:i w:val="0"/>
          <w:color w:val="auto"/>
          <w:sz w:val="18"/>
          <w:szCs w:val="18"/>
        </w:rPr>
        <w:t>’</w:t>
      </w:r>
      <w:r w:rsidRPr="00436AD8">
        <w:rPr>
          <w:rFonts w:asciiTheme="minorHAnsi" w:hAnsiTheme="minorHAnsi" w:cstheme="minorHAnsi"/>
          <w:b w:val="0"/>
          <w:i w:val="0"/>
          <w:color w:val="auto"/>
          <w:sz w:val="18"/>
          <w:szCs w:val="18"/>
        </w:rPr>
        <w:t>s existing check warranties under subpart C to checks that are collected electronically, and in addition, has adopted new warranties and indemnities related to checks collected and returned electronically and to electronically-created items.</w:t>
      </w:r>
    </w:p>
    <w:p w:rsidR="00063F3D" w:rsidRPr="00436AD8" w:rsidRDefault="00063F3D" w:rsidP="00063F3D">
      <w:pPr>
        <w:pStyle w:val="CCComment"/>
        <w:ind w:left="1440" w:hanging="1440"/>
        <w:rPr>
          <w:rFonts w:asciiTheme="minorHAnsi" w:hAnsiTheme="minorHAnsi" w:cstheme="minorHAnsi"/>
          <w:b w:val="0"/>
          <w:i w:val="0"/>
          <w:color w:val="auto"/>
          <w:sz w:val="18"/>
          <w:szCs w:val="18"/>
        </w:rPr>
      </w:pPr>
      <w:r w:rsidRPr="00436AD8">
        <w:rPr>
          <w:rFonts w:asciiTheme="minorHAnsi" w:hAnsiTheme="minorHAnsi" w:cstheme="minorHAnsi"/>
          <w:b w:val="0"/>
          <w:i w:val="0"/>
          <w:color w:val="auto"/>
          <w:sz w:val="18"/>
          <w:szCs w:val="18"/>
        </w:rPr>
        <w:t>04.01.201</w:t>
      </w:r>
      <w:r>
        <w:rPr>
          <w:rFonts w:asciiTheme="minorHAnsi" w:hAnsiTheme="minorHAnsi" w:cstheme="minorHAnsi"/>
          <w:b w:val="0"/>
          <w:i w:val="0"/>
          <w:color w:val="auto"/>
          <w:sz w:val="18"/>
          <w:szCs w:val="18"/>
        </w:rPr>
        <w:t>9</w:t>
      </w:r>
      <w:r w:rsidRPr="00436AD8">
        <w:rPr>
          <w:rFonts w:asciiTheme="minorHAnsi" w:hAnsiTheme="minorHAnsi" w:cstheme="minorHAnsi"/>
          <w:b w:val="0"/>
          <w:i w:val="0"/>
          <w:color w:val="auto"/>
          <w:sz w:val="18"/>
          <w:szCs w:val="18"/>
        </w:rPr>
        <w:tab/>
      </w:r>
      <w:hyperlink r:id="rId38" w:history="1">
        <w:r w:rsidRPr="00436AD8">
          <w:rPr>
            <w:rStyle w:val="Hyperlink"/>
            <w:rFonts w:asciiTheme="minorHAnsi" w:hAnsiTheme="minorHAnsi" w:cstheme="minorHAnsi"/>
            <w:b w:val="0"/>
            <w:i w:val="0"/>
            <w:sz w:val="18"/>
            <w:szCs w:val="18"/>
          </w:rPr>
          <w:t>Prepaid Accounts under the Electronic Fund Transfer Act (Regulation E) and the Truth In Lending Act (Regulation Z)</w:t>
        </w:r>
      </w:hyperlink>
      <w:r w:rsidRPr="00436AD8">
        <w:rPr>
          <w:rFonts w:asciiTheme="minorHAnsi" w:hAnsiTheme="minorHAnsi" w:cstheme="minorHAnsi"/>
          <w:b w:val="0"/>
          <w:i w:val="0"/>
          <w:color w:val="auto"/>
          <w:sz w:val="18"/>
          <w:szCs w:val="18"/>
        </w:rPr>
        <w:t>. The CFPB is issuing this final rule to create comprehensive consumer protections for prepaid accounts under Regulation E, which imple</w:t>
      </w:r>
      <w:r>
        <w:rPr>
          <w:rFonts w:asciiTheme="minorHAnsi" w:hAnsiTheme="minorHAnsi" w:cstheme="minorHAnsi"/>
          <w:b w:val="0"/>
          <w:i w:val="0"/>
          <w:color w:val="auto"/>
          <w:sz w:val="18"/>
          <w:szCs w:val="18"/>
        </w:rPr>
        <w:softHyphen/>
      </w:r>
      <w:r w:rsidRPr="00436AD8">
        <w:rPr>
          <w:rFonts w:asciiTheme="minorHAnsi" w:hAnsiTheme="minorHAnsi" w:cstheme="minorHAnsi"/>
          <w:b w:val="0"/>
          <w:i w:val="0"/>
          <w:color w:val="auto"/>
          <w:sz w:val="18"/>
          <w:szCs w:val="18"/>
        </w:rPr>
        <w:t>ments the Electronic Fund Transfer Act; Regulation Z, which implements the Truth in Lending Act; and the official interpreta</w:t>
      </w:r>
      <w:r>
        <w:rPr>
          <w:rFonts w:asciiTheme="minorHAnsi" w:hAnsiTheme="minorHAnsi" w:cstheme="minorHAnsi"/>
          <w:b w:val="0"/>
          <w:i w:val="0"/>
          <w:color w:val="auto"/>
          <w:sz w:val="18"/>
          <w:szCs w:val="18"/>
        </w:rPr>
        <w:softHyphen/>
      </w:r>
      <w:r w:rsidRPr="00436AD8">
        <w:rPr>
          <w:rFonts w:asciiTheme="minorHAnsi" w:hAnsiTheme="minorHAnsi" w:cstheme="minorHAnsi"/>
          <w:b w:val="0"/>
          <w:i w:val="0"/>
          <w:color w:val="auto"/>
          <w:sz w:val="18"/>
          <w:szCs w:val="18"/>
        </w:rPr>
        <w:t xml:space="preserve">tions to those regulations. The final rule modifies general Regulation E requirements to create tailored provisions governing disclosures, limited liability and error resolution, and periodic statements, and adds new requirements regarding the posting of account agreements. Additionally, the final rule regulates overdraft credit features that </w:t>
      </w:r>
      <w:r w:rsidR="000B1726">
        <w:rPr>
          <w:rFonts w:asciiTheme="minorHAnsi" w:hAnsiTheme="minorHAnsi" w:cstheme="minorHAnsi"/>
          <w:b w:val="0"/>
          <w:i w:val="0"/>
          <w:color w:val="auto"/>
          <w:sz w:val="18"/>
          <w:szCs w:val="18"/>
        </w:rPr>
        <w:t>June</w:t>
      </w:r>
      <w:r w:rsidRPr="00436AD8">
        <w:rPr>
          <w:rFonts w:asciiTheme="minorHAnsi" w:hAnsiTheme="minorHAnsi" w:cstheme="minorHAnsi"/>
          <w:b w:val="0"/>
          <w:i w:val="0"/>
          <w:color w:val="auto"/>
          <w:sz w:val="18"/>
          <w:szCs w:val="18"/>
        </w:rPr>
        <w:t xml:space="preserve"> be offered in conjunction with prepaid accounts. Subject to certain exceptions, such credit features will be covered under Regulation Z where the credit feature is offered by the prepaid account issuer, its affiliate, or its business partner and credit can be accessed </w:t>
      </w:r>
      <w:proofErr w:type="gramStart"/>
      <w:r w:rsidRPr="00436AD8">
        <w:rPr>
          <w:rFonts w:asciiTheme="minorHAnsi" w:hAnsiTheme="minorHAnsi" w:cstheme="minorHAnsi"/>
          <w:b w:val="0"/>
          <w:i w:val="0"/>
          <w:color w:val="auto"/>
          <w:sz w:val="18"/>
          <w:szCs w:val="18"/>
        </w:rPr>
        <w:t>in the course of</w:t>
      </w:r>
      <w:proofErr w:type="gramEnd"/>
      <w:r w:rsidRPr="00436AD8">
        <w:rPr>
          <w:rFonts w:asciiTheme="minorHAnsi" w:hAnsiTheme="minorHAnsi" w:cstheme="minorHAnsi"/>
          <w:b w:val="0"/>
          <w:i w:val="0"/>
          <w:color w:val="auto"/>
          <w:sz w:val="18"/>
          <w:szCs w:val="18"/>
        </w:rPr>
        <w:t xml:space="preserve"> a transaction conducted with a prepaid card. </w:t>
      </w:r>
      <w:r>
        <w:rPr>
          <w:rFonts w:asciiTheme="minorHAnsi" w:hAnsiTheme="minorHAnsi" w:cstheme="minorHAnsi"/>
          <w:b w:val="0"/>
          <w:i w:val="0"/>
          <w:color w:val="auto"/>
          <w:sz w:val="18"/>
          <w:szCs w:val="18"/>
        </w:rPr>
        <w:t>For additional information, s</w:t>
      </w:r>
      <w:r w:rsidRPr="00436AD8">
        <w:rPr>
          <w:rFonts w:asciiTheme="minorHAnsi" w:hAnsiTheme="minorHAnsi" w:cstheme="minorHAnsi"/>
          <w:b w:val="0"/>
          <w:i w:val="0"/>
          <w:color w:val="auto"/>
          <w:sz w:val="18"/>
          <w:szCs w:val="18"/>
        </w:rPr>
        <w:t>ee the CFPB</w:t>
      </w:r>
      <w:r>
        <w:rPr>
          <w:rFonts w:asciiTheme="minorHAnsi" w:hAnsiTheme="minorHAnsi" w:cstheme="minorHAnsi"/>
          <w:b w:val="0"/>
          <w:i w:val="0"/>
          <w:color w:val="auto"/>
          <w:sz w:val="18"/>
          <w:szCs w:val="18"/>
        </w:rPr>
        <w:t>’</w:t>
      </w:r>
      <w:r w:rsidRPr="00436AD8">
        <w:rPr>
          <w:rFonts w:asciiTheme="minorHAnsi" w:hAnsiTheme="minorHAnsi" w:cstheme="minorHAnsi"/>
          <w:b w:val="0"/>
          <w:i w:val="0"/>
          <w:color w:val="auto"/>
          <w:sz w:val="18"/>
          <w:szCs w:val="18"/>
        </w:rPr>
        <w:t>s</w:t>
      </w:r>
      <w:r w:rsidRPr="00436AD8">
        <w:rPr>
          <w:rFonts w:asciiTheme="minorHAnsi" w:hAnsiTheme="minorHAnsi" w:cstheme="minorHAnsi"/>
          <w:sz w:val="18"/>
          <w:szCs w:val="18"/>
        </w:rPr>
        <w:t xml:space="preserve"> </w:t>
      </w:r>
      <w:hyperlink r:id="rId39" w:history="1">
        <w:r w:rsidRPr="00436AD8">
          <w:rPr>
            <w:rStyle w:val="Hyperlink"/>
            <w:rFonts w:asciiTheme="minorHAnsi" w:hAnsiTheme="minorHAnsi" w:cstheme="minorHAnsi"/>
            <w:b w:val="0"/>
            <w:i w:val="0"/>
            <w:sz w:val="18"/>
            <w:szCs w:val="18"/>
          </w:rPr>
          <w:t>prepaid rule implementation page</w:t>
        </w:r>
      </w:hyperlink>
      <w:r w:rsidRPr="00436AD8">
        <w:rPr>
          <w:rFonts w:asciiTheme="minorHAnsi" w:hAnsiTheme="minorHAnsi" w:cstheme="minorHAnsi"/>
          <w:b w:val="0"/>
          <w:i w:val="0"/>
          <w:sz w:val="18"/>
          <w:szCs w:val="18"/>
        </w:rPr>
        <w:t>.</w:t>
      </w:r>
    </w:p>
    <w:p w:rsidR="00063F3D" w:rsidRDefault="00063F3D" w:rsidP="00063F3D">
      <w:pPr>
        <w:pStyle w:val="CCTOCHeading"/>
        <w:spacing w:line="259" w:lineRule="auto"/>
        <w:rPr>
          <w:rFonts w:asciiTheme="minorHAnsi" w:hAnsiTheme="minorHAnsi" w:cstheme="minorHAnsi"/>
        </w:rPr>
      </w:pPr>
      <w:bookmarkStart w:id="55" w:name="_Toc504138802"/>
      <w:bookmarkStart w:id="56" w:name="_Toc517254841"/>
      <w:bookmarkStart w:id="57" w:name="_Hlk514920458"/>
      <w:r w:rsidRPr="00436AD8">
        <w:rPr>
          <w:rFonts w:asciiTheme="minorHAnsi" w:hAnsiTheme="minorHAnsi" w:cstheme="minorHAnsi"/>
        </w:rPr>
        <w:t>Common words, phrases, and acronyms</w:t>
      </w:r>
      <w:bookmarkEnd w:id="55"/>
      <w:bookmarkEnd w:id="56"/>
    </w:p>
    <w:bookmarkEnd w:id="57"/>
    <w:p w:rsidR="00063F3D" w:rsidRPr="00436AD8" w:rsidRDefault="00063F3D" w:rsidP="00063F3D">
      <w:pPr>
        <w:pStyle w:val="CCTOCHeading"/>
        <w:spacing w:line="259" w:lineRule="auto"/>
        <w:rPr>
          <w:rFonts w:asciiTheme="minorHAnsi" w:hAnsiTheme="minorHAnsi" w:cstheme="minorHAnsi"/>
        </w:rPr>
        <w:sectPr w:rsidR="00063F3D" w:rsidRPr="00436AD8" w:rsidSect="00E36FF6">
          <w:footerReference w:type="default" r:id="rId40"/>
          <w:footerReference w:type="first" r:id="rId41"/>
          <w:type w:val="continuous"/>
          <w:pgSz w:w="12240" w:h="15840" w:code="1"/>
          <w:pgMar w:top="720" w:right="720" w:bottom="864" w:left="720" w:header="720" w:footer="432" w:gutter="0"/>
          <w:cols w:space="720"/>
          <w:titlePg/>
          <w:docGrid w:linePitch="360"/>
        </w:sect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firstRow="1" w:lastRow="0" w:firstColumn="1" w:lastColumn="0" w:noHBand="0" w:noVBand="1"/>
      </w:tblPr>
      <w:tblGrid>
        <w:gridCol w:w="1411"/>
        <w:gridCol w:w="3619"/>
      </w:tblGrid>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APOR</w:t>
            </w:r>
          </w:p>
        </w:tc>
        <w:tc>
          <w:tcPr>
            <w:tcW w:w="0" w:type="auto"/>
            <w:vAlign w:val="center"/>
            <w:hideMark/>
          </w:tcPr>
          <w:p w:rsidR="00063F3D" w:rsidRPr="00436AD8" w:rsidRDefault="00063F3D" w:rsidP="00191EED">
            <w:pPr>
              <w:rPr>
                <w:rFonts w:cstheme="minorHAnsi"/>
              </w:rPr>
            </w:pPr>
            <w:r>
              <w:rPr>
                <w:rFonts w:cstheme="minorHAnsi"/>
              </w:rPr>
              <w:t>“</w:t>
            </w:r>
            <w:r w:rsidRPr="00436AD8">
              <w:rPr>
                <w:rFonts w:cstheme="minorHAnsi"/>
              </w:rPr>
              <w:t>Average Prime Offer Rates</w:t>
            </w:r>
            <w:r>
              <w:rPr>
                <w:rFonts w:cstheme="minorHAnsi"/>
              </w:rPr>
              <w:t>”</w:t>
            </w:r>
            <w:r w:rsidRPr="00436AD8">
              <w:rPr>
                <w:rFonts w:cstheme="minorHAnsi"/>
              </w:rPr>
              <w:t xml:space="preserve"> are derived from average interest rates, points, and other pricing terms offered by a representative sample of creditors for mortgage transactions that have low-risk pricing characteristics.</w:t>
            </w:r>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CARD Act</w:t>
            </w:r>
          </w:p>
        </w:tc>
        <w:tc>
          <w:tcPr>
            <w:tcW w:w="0" w:type="auto"/>
            <w:vAlign w:val="center"/>
            <w:hideMark/>
          </w:tcPr>
          <w:p w:rsidR="00063F3D" w:rsidRPr="00436AD8" w:rsidRDefault="00491B4E" w:rsidP="00191EED">
            <w:pPr>
              <w:rPr>
                <w:rFonts w:cstheme="minorHAnsi"/>
              </w:rPr>
            </w:pPr>
            <w:hyperlink r:id="rId42" w:history="1">
              <w:r w:rsidR="00063F3D" w:rsidRPr="00436AD8">
                <w:rPr>
                  <w:rStyle w:val="Hyperlink"/>
                  <w:rFonts w:cstheme="minorHAnsi"/>
                </w:rPr>
                <w:t>Credit Card Accountability Responsi</w:t>
              </w:r>
              <w:r w:rsidR="00063F3D">
                <w:rPr>
                  <w:rStyle w:val="Hyperlink"/>
                  <w:rFonts w:cstheme="minorHAnsi"/>
                </w:rPr>
                <w:softHyphen/>
              </w:r>
              <w:r w:rsidR="00063F3D" w:rsidRPr="00436AD8">
                <w:rPr>
                  <w:rStyle w:val="Hyperlink"/>
                  <w:rFonts w:cstheme="minorHAnsi"/>
                </w:rPr>
                <w:t>bility and Disclosure Act of 2009</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CFPB</w:t>
            </w:r>
          </w:p>
        </w:tc>
        <w:tc>
          <w:tcPr>
            <w:tcW w:w="0" w:type="auto"/>
            <w:vAlign w:val="center"/>
            <w:hideMark/>
          </w:tcPr>
          <w:p w:rsidR="00063F3D" w:rsidRPr="00436AD8" w:rsidRDefault="00491B4E" w:rsidP="00191EED">
            <w:pPr>
              <w:rPr>
                <w:rFonts w:cstheme="minorHAnsi"/>
              </w:rPr>
            </w:pPr>
            <w:hyperlink r:id="rId43" w:history="1">
              <w:r w:rsidR="00063F3D" w:rsidRPr="00436AD8">
                <w:rPr>
                  <w:rStyle w:val="Hyperlink"/>
                  <w:rFonts w:cstheme="minorHAnsi"/>
                </w:rPr>
                <w:t>Consumer Financial Protection Bureau</w:t>
              </w:r>
            </w:hyperlink>
            <w:r w:rsidR="00063F3D" w:rsidRPr="00436AD8">
              <w:rPr>
                <w:rFonts w:cstheme="minorHAnsi"/>
              </w:rPr>
              <w:t xml:space="preserve"> </w:t>
            </w:r>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CFR</w:t>
            </w:r>
          </w:p>
        </w:tc>
        <w:tc>
          <w:tcPr>
            <w:tcW w:w="0" w:type="auto"/>
            <w:vAlign w:val="center"/>
            <w:hideMark/>
          </w:tcPr>
          <w:p w:rsidR="00063F3D" w:rsidRPr="00436AD8" w:rsidRDefault="00491B4E" w:rsidP="00191EED">
            <w:pPr>
              <w:rPr>
                <w:rFonts w:cstheme="minorHAnsi"/>
              </w:rPr>
            </w:pPr>
            <w:hyperlink r:id="rId44" w:history="1">
              <w:r w:rsidR="00063F3D" w:rsidRPr="00436AD8">
                <w:rPr>
                  <w:rStyle w:val="Hyperlink"/>
                  <w:rFonts w:cstheme="minorHAnsi"/>
                </w:rPr>
                <w:t>Code of Federal Regulations</w:t>
              </w:r>
            </w:hyperlink>
            <w:r w:rsidR="00063F3D" w:rsidRPr="00436AD8">
              <w:rPr>
                <w:rFonts w:cstheme="minorHAnsi"/>
              </w:rPr>
              <w:t>. Codification of rules and regulations of federal agencies.</w:t>
            </w:r>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CRA</w:t>
            </w:r>
          </w:p>
        </w:tc>
        <w:tc>
          <w:tcPr>
            <w:tcW w:w="0" w:type="auto"/>
            <w:vAlign w:val="center"/>
            <w:hideMark/>
          </w:tcPr>
          <w:p w:rsidR="00063F3D" w:rsidRPr="00436AD8" w:rsidRDefault="00491B4E" w:rsidP="00191EED">
            <w:pPr>
              <w:rPr>
                <w:rFonts w:cstheme="minorHAnsi"/>
              </w:rPr>
            </w:pPr>
            <w:hyperlink r:id="rId45" w:history="1">
              <w:r w:rsidR="00063F3D" w:rsidRPr="00436AD8">
                <w:rPr>
                  <w:rStyle w:val="Hyperlink"/>
                  <w:rFonts w:cstheme="minorHAnsi"/>
                </w:rPr>
                <w:t>Community Reinvestment Act</w:t>
              </w:r>
            </w:hyperlink>
            <w:r w:rsidR="00063F3D" w:rsidRPr="00436AD8">
              <w:rPr>
                <w:rFonts w:cstheme="minorHAnsi"/>
              </w:rPr>
              <w:t>. This Act is designed to encourage loans in all segments of communities.</w:t>
            </w:r>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CRE</w:t>
            </w:r>
          </w:p>
        </w:tc>
        <w:tc>
          <w:tcPr>
            <w:tcW w:w="0" w:type="auto"/>
            <w:vAlign w:val="center"/>
            <w:hideMark/>
          </w:tcPr>
          <w:p w:rsidR="00063F3D" w:rsidRPr="00436AD8" w:rsidRDefault="00063F3D" w:rsidP="00191EED">
            <w:pPr>
              <w:rPr>
                <w:rFonts w:cstheme="minorHAnsi"/>
              </w:rPr>
            </w:pPr>
            <w:r w:rsidRPr="00436AD8">
              <w:rPr>
                <w:rFonts w:cstheme="minorHAnsi"/>
              </w:rPr>
              <w:t>Commercial Real Estate</w:t>
            </w:r>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CSBS</w:t>
            </w:r>
          </w:p>
        </w:tc>
        <w:tc>
          <w:tcPr>
            <w:tcW w:w="0" w:type="auto"/>
            <w:vAlign w:val="center"/>
            <w:hideMark/>
          </w:tcPr>
          <w:p w:rsidR="00063F3D" w:rsidRPr="00436AD8" w:rsidRDefault="00491B4E" w:rsidP="00191EED">
            <w:pPr>
              <w:rPr>
                <w:rFonts w:cstheme="minorHAnsi"/>
              </w:rPr>
            </w:pPr>
            <w:hyperlink r:id="rId46" w:history="1">
              <w:r w:rsidR="00063F3D" w:rsidRPr="00436AD8">
                <w:rPr>
                  <w:rStyle w:val="Hyperlink"/>
                  <w:rFonts w:cstheme="minorHAnsi"/>
                </w:rPr>
                <w:t>Conference of State Bank Supervisors</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CTR</w:t>
            </w:r>
          </w:p>
        </w:tc>
        <w:tc>
          <w:tcPr>
            <w:tcW w:w="0" w:type="auto"/>
            <w:vAlign w:val="center"/>
            <w:hideMark/>
          </w:tcPr>
          <w:p w:rsidR="00063F3D" w:rsidRPr="00436AD8" w:rsidRDefault="00491B4E" w:rsidP="00191EED">
            <w:pPr>
              <w:rPr>
                <w:rFonts w:cstheme="minorHAnsi"/>
              </w:rPr>
            </w:pPr>
            <w:hyperlink r:id="rId47" w:history="1">
              <w:r w:rsidR="00063F3D" w:rsidRPr="00436AD8">
                <w:rPr>
                  <w:rStyle w:val="Hyperlink"/>
                  <w:rFonts w:cstheme="minorHAnsi"/>
                </w:rPr>
                <w:t>Currency Transaction Report</w:t>
              </w:r>
            </w:hyperlink>
            <w:r w:rsidR="00063F3D" w:rsidRPr="00436AD8">
              <w:rPr>
                <w:rFonts w:cstheme="minorHAnsi"/>
              </w:rPr>
              <w:t>. Filed for each deposit, withdrawal, exchange of currency that involves a transaction in currency of more than $10,000.</w:t>
            </w:r>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Dodd-Frank Act</w:t>
            </w:r>
          </w:p>
        </w:tc>
        <w:tc>
          <w:tcPr>
            <w:tcW w:w="0" w:type="auto"/>
            <w:vAlign w:val="center"/>
            <w:hideMark/>
          </w:tcPr>
          <w:p w:rsidR="00063F3D" w:rsidRPr="00436AD8" w:rsidRDefault="00491B4E" w:rsidP="00191EED">
            <w:pPr>
              <w:rPr>
                <w:rFonts w:cstheme="minorHAnsi"/>
              </w:rPr>
            </w:pPr>
            <w:hyperlink r:id="rId48" w:history="1">
              <w:r w:rsidR="00063F3D" w:rsidRPr="00436AD8">
                <w:rPr>
                  <w:rStyle w:val="Hyperlink"/>
                  <w:rFonts w:cstheme="minorHAnsi"/>
                </w:rPr>
                <w:t>The Dodd–Frank Wall Street Reform and Consumer Protection Act</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DOJ</w:t>
            </w:r>
          </w:p>
        </w:tc>
        <w:tc>
          <w:tcPr>
            <w:tcW w:w="0" w:type="auto"/>
            <w:vAlign w:val="center"/>
            <w:hideMark/>
          </w:tcPr>
          <w:p w:rsidR="00063F3D" w:rsidRPr="00436AD8" w:rsidRDefault="00491B4E" w:rsidP="00191EED">
            <w:pPr>
              <w:rPr>
                <w:rFonts w:cstheme="minorHAnsi"/>
              </w:rPr>
            </w:pPr>
            <w:hyperlink r:id="rId49" w:history="1">
              <w:r w:rsidR="00063F3D" w:rsidRPr="00436AD8">
                <w:rPr>
                  <w:rStyle w:val="Hyperlink"/>
                  <w:rFonts w:cstheme="minorHAnsi"/>
                </w:rPr>
                <w:t>Department of Justice</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 xml:space="preserve">FDIC </w:t>
            </w:r>
          </w:p>
        </w:tc>
        <w:tc>
          <w:tcPr>
            <w:tcW w:w="0" w:type="auto"/>
            <w:vAlign w:val="center"/>
            <w:hideMark/>
          </w:tcPr>
          <w:p w:rsidR="00063F3D" w:rsidRPr="00436AD8" w:rsidRDefault="00491B4E" w:rsidP="00191EED">
            <w:pPr>
              <w:rPr>
                <w:rFonts w:cstheme="minorHAnsi"/>
              </w:rPr>
            </w:pPr>
            <w:hyperlink r:id="rId50" w:history="1">
              <w:r w:rsidR="00063F3D" w:rsidRPr="00436AD8">
                <w:rPr>
                  <w:rStyle w:val="Hyperlink"/>
                  <w:rFonts w:cstheme="minorHAnsi"/>
                </w:rPr>
                <w:t>Federal Deposit Insurance Corporation</w:t>
              </w:r>
            </w:hyperlink>
            <w:r w:rsidR="00063F3D" w:rsidRPr="00436AD8">
              <w:rPr>
                <w:rFonts w:cstheme="minorHAnsi"/>
              </w:rPr>
              <w:t xml:space="preserve"> </w:t>
            </w:r>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EFTA</w:t>
            </w:r>
          </w:p>
        </w:tc>
        <w:tc>
          <w:tcPr>
            <w:tcW w:w="0" w:type="auto"/>
            <w:vAlign w:val="center"/>
            <w:hideMark/>
          </w:tcPr>
          <w:p w:rsidR="00063F3D" w:rsidRPr="00436AD8" w:rsidRDefault="00491B4E" w:rsidP="00191EED">
            <w:pPr>
              <w:rPr>
                <w:rFonts w:cstheme="minorHAnsi"/>
              </w:rPr>
            </w:pPr>
            <w:hyperlink r:id="rId51" w:history="1">
              <w:r w:rsidR="00063F3D" w:rsidRPr="00436AD8">
                <w:rPr>
                  <w:rStyle w:val="Hyperlink"/>
                  <w:rFonts w:cstheme="minorHAnsi"/>
                </w:rPr>
                <w:t>Electronic Fund Transfer Act</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 xml:space="preserve">Federal bank regulatory agencies </w:t>
            </w:r>
          </w:p>
        </w:tc>
        <w:tc>
          <w:tcPr>
            <w:tcW w:w="0" w:type="auto"/>
            <w:vAlign w:val="center"/>
            <w:hideMark/>
          </w:tcPr>
          <w:p w:rsidR="00063F3D" w:rsidRPr="00436AD8" w:rsidRDefault="00063F3D" w:rsidP="00191EED">
            <w:pPr>
              <w:rPr>
                <w:rFonts w:cstheme="minorHAnsi"/>
              </w:rPr>
            </w:pPr>
            <w:r w:rsidRPr="00436AD8">
              <w:rPr>
                <w:rFonts w:cstheme="minorHAnsi"/>
              </w:rPr>
              <w:t xml:space="preserve">FDIC, FRB, and OCC </w:t>
            </w:r>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 xml:space="preserve">Federal financial institution regulatory agencies </w:t>
            </w:r>
          </w:p>
        </w:tc>
        <w:tc>
          <w:tcPr>
            <w:tcW w:w="0" w:type="auto"/>
            <w:vAlign w:val="center"/>
            <w:hideMark/>
          </w:tcPr>
          <w:p w:rsidR="00063F3D" w:rsidRPr="00436AD8" w:rsidRDefault="00063F3D" w:rsidP="00191EED">
            <w:pPr>
              <w:rPr>
                <w:rFonts w:cstheme="minorHAnsi"/>
              </w:rPr>
            </w:pPr>
            <w:r w:rsidRPr="00436AD8">
              <w:rPr>
                <w:rFonts w:cstheme="minorHAnsi"/>
              </w:rPr>
              <w:t xml:space="preserve">CFPB, FDIC, FRB, NCUA, and OCC </w:t>
            </w:r>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FEMA</w:t>
            </w:r>
          </w:p>
        </w:tc>
        <w:tc>
          <w:tcPr>
            <w:tcW w:w="0" w:type="auto"/>
            <w:vAlign w:val="center"/>
            <w:hideMark/>
          </w:tcPr>
          <w:p w:rsidR="00063F3D" w:rsidRPr="00436AD8" w:rsidRDefault="00491B4E" w:rsidP="00191EED">
            <w:pPr>
              <w:rPr>
                <w:rFonts w:cstheme="minorHAnsi"/>
              </w:rPr>
            </w:pPr>
            <w:hyperlink r:id="rId52" w:history="1">
              <w:r w:rsidR="00063F3D" w:rsidRPr="00436AD8">
                <w:rPr>
                  <w:rStyle w:val="Hyperlink"/>
                  <w:rFonts w:cstheme="minorHAnsi"/>
                </w:rPr>
                <w:t>Federal Emergency Management Agency</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FFIEC</w:t>
            </w:r>
          </w:p>
        </w:tc>
        <w:tc>
          <w:tcPr>
            <w:tcW w:w="0" w:type="auto"/>
            <w:vAlign w:val="center"/>
            <w:hideMark/>
          </w:tcPr>
          <w:p w:rsidR="00063F3D" w:rsidRPr="00436AD8" w:rsidRDefault="00491B4E" w:rsidP="00191EED">
            <w:pPr>
              <w:rPr>
                <w:rFonts w:cstheme="minorHAnsi"/>
              </w:rPr>
            </w:pPr>
            <w:hyperlink r:id="rId53" w:history="1">
              <w:r w:rsidR="00063F3D" w:rsidRPr="00436AD8">
                <w:rPr>
                  <w:rStyle w:val="Hyperlink"/>
                  <w:rFonts w:cstheme="minorHAnsi"/>
                </w:rPr>
                <w:t>Federal Financial Institutions Examination Council</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FHFA</w:t>
            </w:r>
          </w:p>
        </w:tc>
        <w:tc>
          <w:tcPr>
            <w:tcW w:w="0" w:type="auto"/>
            <w:vAlign w:val="center"/>
            <w:hideMark/>
          </w:tcPr>
          <w:p w:rsidR="00063F3D" w:rsidRPr="00436AD8" w:rsidRDefault="00491B4E" w:rsidP="00191EED">
            <w:pPr>
              <w:rPr>
                <w:rFonts w:cstheme="minorHAnsi"/>
              </w:rPr>
            </w:pPr>
            <w:hyperlink r:id="rId54" w:history="1">
              <w:r w:rsidR="00063F3D" w:rsidRPr="00436AD8">
                <w:rPr>
                  <w:rStyle w:val="Hyperlink"/>
                  <w:rFonts w:cstheme="minorHAnsi"/>
                </w:rPr>
                <w:t>Federal Housing Finance Agency</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FHA</w:t>
            </w:r>
          </w:p>
        </w:tc>
        <w:tc>
          <w:tcPr>
            <w:tcW w:w="0" w:type="auto"/>
            <w:vAlign w:val="center"/>
            <w:hideMark/>
          </w:tcPr>
          <w:p w:rsidR="00063F3D" w:rsidRPr="00436AD8" w:rsidRDefault="00491B4E" w:rsidP="00191EED">
            <w:pPr>
              <w:rPr>
                <w:rFonts w:cstheme="minorHAnsi"/>
              </w:rPr>
            </w:pPr>
            <w:hyperlink r:id="rId55" w:history="1">
              <w:r w:rsidR="00063F3D" w:rsidRPr="00436AD8">
                <w:rPr>
                  <w:rStyle w:val="Hyperlink"/>
                  <w:rFonts w:cstheme="minorHAnsi"/>
                </w:rPr>
                <w:t>Federal Housing Administration</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FinCEN</w:t>
            </w:r>
          </w:p>
        </w:tc>
        <w:tc>
          <w:tcPr>
            <w:tcW w:w="0" w:type="auto"/>
            <w:vAlign w:val="center"/>
            <w:hideMark/>
          </w:tcPr>
          <w:p w:rsidR="00063F3D" w:rsidRPr="00436AD8" w:rsidRDefault="00491B4E" w:rsidP="00191EED">
            <w:pPr>
              <w:rPr>
                <w:rFonts w:cstheme="minorHAnsi"/>
              </w:rPr>
            </w:pPr>
            <w:hyperlink r:id="rId56" w:history="1">
              <w:r w:rsidR="00063F3D" w:rsidRPr="00436AD8">
                <w:rPr>
                  <w:rStyle w:val="Hyperlink"/>
                  <w:rFonts w:cstheme="minorHAnsi"/>
                </w:rPr>
                <w:t>Financial Crime Enforcement Network</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FR</w:t>
            </w:r>
          </w:p>
        </w:tc>
        <w:tc>
          <w:tcPr>
            <w:tcW w:w="0" w:type="auto"/>
            <w:vAlign w:val="center"/>
            <w:hideMark/>
          </w:tcPr>
          <w:p w:rsidR="00063F3D" w:rsidRPr="00436AD8" w:rsidRDefault="00491B4E" w:rsidP="00191EED">
            <w:pPr>
              <w:rPr>
                <w:rFonts w:cstheme="minorHAnsi"/>
              </w:rPr>
            </w:pPr>
            <w:hyperlink r:id="rId57" w:history="1">
              <w:r w:rsidR="00063F3D" w:rsidRPr="00436AD8">
                <w:rPr>
                  <w:rStyle w:val="Hyperlink"/>
                  <w:rFonts w:cstheme="minorHAnsi"/>
                </w:rPr>
                <w:t>Federal Register</w:t>
              </w:r>
            </w:hyperlink>
            <w:r w:rsidR="00063F3D" w:rsidRPr="00436AD8">
              <w:rPr>
                <w:rFonts w:cstheme="minorHAnsi"/>
              </w:rPr>
              <w:t>. U.S. government daily publication that contains proposed and final administrative regulations of federal agencies.</w:t>
            </w:r>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FRB, Fed or Federal Reserve</w:t>
            </w:r>
          </w:p>
        </w:tc>
        <w:tc>
          <w:tcPr>
            <w:tcW w:w="0" w:type="auto"/>
            <w:vAlign w:val="center"/>
            <w:hideMark/>
          </w:tcPr>
          <w:p w:rsidR="00063F3D" w:rsidRPr="00436AD8" w:rsidRDefault="00491B4E" w:rsidP="00191EED">
            <w:pPr>
              <w:rPr>
                <w:rFonts w:cstheme="minorHAnsi"/>
              </w:rPr>
            </w:pPr>
            <w:hyperlink r:id="rId58" w:history="1">
              <w:r w:rsidR="00063F3D" w:rsidRPr="00436AD8">
                <w:rPr>
                  <w:rStyle w:val="Hyperlink"/>
                  <w:rFonts w:cstheme="minorHAnsi"/>
                </w:rPr>
                <w:t>Federal Reserve Board</w:t>
              </w:r>
            </w:hyperlink>
            <w:r w:rsidR="00063F3D" w:rsidRPr="00436AD8">
              <w:rPr>
                <w:rFonts w:cstheme="minorHAnsi"/>
              </w:rPr>
              <w:t xml:space="preserve"> </w:t>
            </w:r>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FSOC</w:t>
            </w:r>
          </w:p>
        </w:tc>
        <w:tc>
          <w:tcPr>
            <w:tcW w:w="0" w:type="auto"/>
            <w:vAlign w:val="center"/>
          </w:tcPr>
          <w:p w:rsidR="00063F3D" w:rsidRPr="00436AD8" w:rsidRDefault="00491B4E" w:rsidP="00191EED">
            <w:pPr>
              <w:rPr>
                <w:rFonts w:cstheme="minorHAnsi"/>
              </w:rPr>
            </w:pPr>
            <w:hyperlink r:id="rId59" w:history="1">
              <w:r w:rsidR="00063F3D" w:rsidRPr="00436AD8">
                <w:rPr>
                  <w:rStyle w:val="Hyperlink"/>
                  <w:rFonts w:cstheme="minorHAnsi"/>
                </w:rPr>
                <w:t>Financial Stability Oversight Council</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FTC</w:t>
            </w:r>
          </w:p>
        </w:tc>
        <w:tc>
          <w:tcPr>
            <w:tcW w:w="0" w:type="auto"/>
            <w:vAlign w:val="center"/>
            <w:hideMark/>
          </w:tcPr>
          <w:p w:rsidR="00063F3D" w:rsidRPr="00436AD8" w:rsidRDefault="00491B4E" w:rsidP="00191EED">
            <w:pPr>
              <w:rPr>
                <w:rFonts w:cstheme="minorHAnsi"/>
              </w:rPr>
            </w:pPr>
            <w:hyperlink r:id="rId60" w:history="1">
              <w:r w:rsidR="00063F3D" w:rsidRPr="00436AD8">
                <w:rPr>
                  <w:rStyle w:val="Hyperlink"/>
                  <w:rFonts w:cstheme="minorHAnsi"/>
                </w:rPr>
                <w:t>Federal Trade Commission</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GAO</w:t>
            </w:r>
          </w:p>
        </w:tc>
        <w:tc>
          <w:tcPr>
            <w:tcW w:w="0" w:type="auto"/>
            <w:vAlign w:val="center"/>
            <w:hideMark/>
          </w:tcPr>
          <w:p w:rsidR="00063F3D" w:rsidRPr="00436AD8" w:rsidRDefault="00491B4E" w:rsidP="00191EED">
            <w:pPr>
              <w:rPr>
                <w:rFonts w:cstheme="minorHAnsi"/>
              </w:rPr>
            </w:pPr>
            <w:hyperlink r:id="rId61" w:history="1">
              <w:r w:rsidR="00063F3D" w:rsidRPr="00436AD8">
                <w:rPr>
                  <w:rStyle w:val="Hyperlink"/>
                  <w:rFonts w:cstheme="minorHAnsi"/>
                </w:rPr>
                <w:t>Government Accountability Office</w:t>
              </w:r>
            </w:hyperlink>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HARP</w:t>
            </w:r>
          </w:p>
        </w:tc>
        <w:tc>
          <w:tcPr>
            <w:tcW w:w="0" w:type="auto"/>
            <w:vAlign w:val="center"/>
          </w:tcPr>
          <w:p w:rsidR="00063F3D" w:rsidRPr="00436AD8" w:rsidRDefault="00491B4E" w:rsidP="00191EED">
            <w:pPr>
              <w:rPr>
                <w:rFonts w:cstheme="minorHAnsi"/>
              </w:rPr>
            </w:pPr>
            <w:hyperlink r:id="rId62" w:history="1">
              <w:r w:rsidR="00063F3D" w:rsidRPr="00436AD8">
                <w:rPr>
                  <w:rStyle w:val="Hyperlink"/>
                  <w:rFonts w:cstheme="minorHAnsi"/>
                </w:rPr>
                <w:t>Home Affordable Refinance Program</w:t>
              </w:r>
            </w:hyperlink>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lastRenderedPageBreak/>
              <w:t>HAMP</w:t>
            </w:r>
          </w:p>
        </w:tc>
        <w:tc>
          <w:tcPr>
            <w:tcW w:w="0" w:type="auto"/>
            <w:vAlign w:val="center"/>
          </w:tcPr>
          <w:p w:rsidR="00063F3D" w:rsidRPr="00436AD8" w:rsidRDefault="00491B4E" w:rsidP="00191EED">
            <w:pPr>
              <w:rPr>
                <w:rFonts w:cstheme="minorHAnsi"/>
              </w:rPr>
            </w:pPr>
            <w:hyperlink r:id="rId63" w:history="1">
              <w:r w:rsidR="00063F3D" w:rsidRPr="00436AD8">
                <w:rPr>
                  <w:rStyle w:val="Hyperlink"/>
                  <w:rFonts w:cstheme="minorHAnsi"/>
                </w:rPr>
                <w:t>Home Affordable Modification Program</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HMDA</w:t>
            </w:r>
          </w:p>
        </w:tc>
        <w:tc>
          <w:tcPr>
            <w:tcW w:w="0" w:type="auto"/>
            <w:vAlign w:val="center"/>
            <w:hideMark/>
          </w:tcPr>
          <w:p w:rsidR="00063F3D" w:rsidRPr="00436AD8" w:rsidRDefault="00491B4E" w:rsidP="00191EED">
            <w:pPr>
              <w:rPr>
                <w:rFonts w:cstheme="minorHAnsi"/>
              </w:rPr>
            </w:pPr>
            <w:hyperlink r:id="rId64" w:history="1">
              <w:r w:rsidR="00063F3D" w:rsidRPr="00436AD8">
                <w:rPr>
                  <w:rStyle w:val="Hyperlink"/>
                  <w:rFonts w:cstheme="minorHAnsi"/>
                </w:rPr>
                <w:t>Home Mortgage Disclosure Act</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HOEPA</w:t>
            </w:r>
          </w:p>
        </w:tc>
        <w:tc>
          <w:tcPr>
            <w:tcW w:w="0" w:type="auto"/>
            <w:vAlign w:val="center"/>
            <w:hideMark/>
          </w:tcPr>
          <w:p w:rsidR="00063F3D" w:rsidRPr="00436AD8" w:rsidRDefault="00491B4E" w:rsidP="00191EED">
            <w:pPr>
              <w:rPr>
                <w:rFonts w:cstheme="minorHAnsi"/>
              </w:rPr>
            </w:pPr>
            <w:hyperlink r:id="rId65" w:history="1">
              <w:r w:rsidR="00063F3D" w:rsidRPr="00436AD8">
                <w:rPr>
                  <w:rStyle w:val="Hyperlink"/>
                  <w:rFonts w:cstheme="minorHAnsi"/>
                </w:rPr>
                <w:t>Home Ownership and Equity Protections Act of 1994</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HPML</w:t>
            </w:r>
          </w:p>
        </w:tc>
        <w:tc>
          <w:tcPr>
            <w:tcW w:w="0" w:type="auto"/>
            <w:vAlign w:val="center"/>
            <w:hideMark/>
          </w:tcPr>
          <w:p w:rsidR="00063F3D" w:rsidRPr="00436AD8" w:rsidRDefault="00491B4E" w:rsidP="00191EED">
            <w:pPr>
              <w:rPr>
                <w:rFonts w:cstheme="minorHAnsi"/>
              </w:rPr>
            </w:pPr>
            <w:hyperlink r:id="rId66" w:history="1">
              <w:r w:rsidR="00063F3D" w:rsidRPr="00436AD8">
                <w:rPr>
                  <w:rStyle w:val="Hyperlink"/>
                  <w:rFonts w:cstheme="minorHAnsi"/>
                </w:rPr>
                <w:t>Higher Priced Mortgage Loan</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HUD</w:t>
            </w:r>
          </w:p>
        </w:tc>
        <w:tc>
          <w:tcPr>
            <w:tcW w:w="0" w:type="auto"/>
            <w:vAlign w:val="center"/>
            <w:hideMark/>
          </w:tcPr>
          <w:p w:rsidR="00063F3D" w:rsidRPr="00436AD8" w:rsidRDefault="00491B4E" w:rsidP="00191EED">
            <w:pPr>
              <w:rPr>
                <w:rFonts w:cstheme="minorHAnsi"/>
              </w:rPr>
            </w:pPr>
            <w:hyperlink r:id="rId67" w:history="1">
              <w:r w:rsidR="00063F3D" w:rsidRPr="00436AD8">
                <w:rPr>
                  <w:rStyle w:val="Hyperlink"/>
                  <w:rFonts w:cstheme="minorHAnsi"/>
                </w:rPr>
                <w:t>U.S. Department of Housing and Urban Development</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IRS</w:t>
            </w:r>
          </w:p>
        </w:tc>
        <w:tc>
          <w:tcPr>
            <w:tcW w:w="0" w:type="auto"/>
            <w:vAlign w:val="center"/>
            <w:hideMark/>
          </w:tcPr>
          <w:p w:rsidR="00063F3D" w:rsidRPr="00436AD8" w:rsidRDefault="00491B4E" w:rsidP="00191EED">
            <w:pPr>
              <w:rPr>
                <w:rFonts w:cstheme="minorHAnsi"/>
              </w:rPr>
            </w:pPr>
            <w:hyperlink r:id="rId68" w:history="1">
              <w:r w:rsidR="00063F3D" w:rsidRPr="00436AD8">
                <w:rPr>
                  <w:rStyle w:val="Hyperlink"/>
                  <w:rFonts w:cstheme="minorHAnsi"/>
                </w:rPr>
                <w:t>Internal Revenue Service</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MLO</w:t>
            </w:r>
          </w:p>
        </w:tc>
        <w:tc>
          <w:tcPr>
            <w:tcW w:w="0" w:type="auto"/>
            <w:vAlign w:val="center"/>
            <w:hideMark/>
          </w:tcPr>
          <w:p w:rsidR="00063F3D" w:rsidRPr="00436AD8" w:rsidRDefault="00063F3D" w:rsidP="00191EED">
            <w:pPr>
              <w:rPr>
                <w:rFonts w:cstheme="minorHAnsi"/>
              </w:rPr>
            </w:pPr>
            <w:r w:rsidRPr="00436AD8">
              <w:rPr>
                <w:rFonts w:cstheme="minorHAnsi"/>
              </w:rPr>
              <w:t>Mortgage Loan Originator</w:t>
            </w:r>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MOU</w:t>
            </w:r>
          </w:p>
        </w:tc>
        <w:tc>
          <w:tcPr>
            <w:tcW w:w="0" w:type="auto"/>
            <w:vAlign w:val="center"/>
            <w:hideMark/>
          </w:tcPr>
          <w:p w:rsidR="00063F3D" w:rsidRPr="00436AD8" w:rsidRDefault="00063F3D" w:rsidP="00191EED">
            <w:pPr>
              <w:rPr>
                <w:rFonts w:cstheme="minorHAnsi"/>
              </w:rPr>
            </w:pPr>
            <w:r w:rsidRPr="00436AD8">
              <w:rPr>
                <w:rFonts w:cstheme="minorHAnsi"/>
              </w:rPr>
              <w:t>Memorandum of Understanding</w:t>
            </w:r>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NFIP</w:t>
            </w:r>
          </w:p>
        </w:tc>
        <w:tc>
          <w:tcPr>
            <w:tcW w:w="0" w:type="auto"/>
            <w:vAlign w:val="center"/>
            <w:hideMark/>
          </w:tcPr>
          <w:p w:rsidR="00063F3D" w:rsidRPr="00436AD8" w:rsidRDefault="00491B4E" w:rsidP="00191EED">
            <w:pPr>
              <w:rPr>
                <w:rFonts w:cstheme="minorHAnsi"/>
              </w:rPr>
            </w:pPr>
            <w:hyperlink r:id="rId69" w:history="1">
              <w:r w:rsidR="00063F3D" w:rsidRPr="00436AD8">
                <w:rPr>
                  <w:rStyle w:val="Hyperlink"/>
                  <w:rFonts w:cstheme="minorHAnsi"/>
                </w:rPr>
                <w:t>National Flood Insurance Program</w:t>
              </w:r>
            </w:hyperlink>
            <w:r w:rsidR="00063F3D" w:rsidRPr="00436AD8">
              <w:rPr>
                <w:rFonts w:cstheme="minorHAnsi"/>
              </w:rPr>
              <w:t>. U.S. government program to allow the purchase of flood insurance from the government.</w:t>
            </w:r>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NMLS</w:t>
            </w:r>
          </w:p>
        </w:tc>
        <w:tc>
          <w:tcPr>
            <w:tcW w:w="0" w:type="auto"/>
            <w:vAlign w:val="center"/>
            <w:hideMark/>
          </w:tcPr>
          <w:p w:rsidR="00063F3D" w:rsidRPr="00436AD8" w:rsidRDefault="00491B4E" w:rsidP="00191EED">
            <w:pPr>
              <w:rPr>
                <w:rFonts w:cstheme="minorHAnsi"/>
              </w:rPr>
            </w:pPr>
            <w:hyperlink r:id="rId70" w:history="1">
              <w:r w:rsidR="00063F3D" w:rsidRPr="00436AD8">
                <w:rPr>
                  <w:rStyle w:val="Hyperlink"/>
                  <w:rFonts w:cstheme="minorHAnsi"/>
                </w:rPr>
                <w:t>National Mortgage Licensing System</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 xml:space="preserve">OCC </w:t>
            </w:r>
          </w:p>
        </w:tc>
        <w:tc>
          <w:tcPr>
            <w:tcW w:w="0" w:type="auto"/>
            <w:vAlign w:val="center"/>
            <w:hideMark/>
          </w:tcPr>
          <w:p w:rsidR="00063F3D" w:rsidRPr="00436AD8" w:rsidRDefault="00491B4E" w:rsidP="00191EED">
            <w:pPr>
              <w:rPr>
                <w:rFonts w:cstheme="minorHAnsi"/>
              </w:rPr>
            </w:pPr>
            <w:hyperlink r:id="rId71" w:history="1">
              <w:r w:rsidR="00063F3D" w:rsidRPr="00436AD8">
                <w:rPr>
                  <w:rStyle w:val="Hyperlink"/>
                  <w:rFonts w:cstheme="minorHAnsi"/>
                </w:rPr>
                <w:t>Office of the Comptroller of the Currency</w:t>
              </w:r>
            </w:hyperlink>
            <w:r w:rsidR="00063F3D" w:rsidRPr="00436AD8">
              <w:rPr>
                <w:rFonts w:cstheme="minorHAnsi"/>
              </w:rPr>
              <w:t xml:space="preserve"> </w:t>
            </w:r>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OFAC</w:t>
            </w:r>
          </w:p>
        </w:tc>
        <w:tc>
          <w:tcPr>
            <w:tcW w:w="0" w:type="auto"/>
            <w:vAlign w:val="center"/>
          </w:tcPr>
          <w:p w:rsidR="00063F3D" w:rsidRPr="00436AD8" w:rsidRDefault="00491B4E" w:rsidP="00191EED">
            <w:pPr>
              <w:rPr>
                <w:rFonts w:cstheme="minorHAnsi"/>
              </w:rPr>
            </w:pPr>
            <w:hyperlink r:id="rId72" w:history="1">
              <w:r w:rsidR="00063F3D" w:rsidRPr="00436AD8">
                <w:rPr>
                  <w:rStyle w:val="Hyperlink"/>
                  <w:rFonts w:cstheme="minorHAnsi"/>
                </w:rPr>
                <w:t>Office of Foreign Asset Control</w:t>
              </w:r>
            </w:hyperlink>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OREO</w:t>
            </w:r>
          </w:p>
        </w:tc>
        <w:tc>
          <w:tcPr>
            <w:tcW w:w="0" w:type="auto"/>
            <w:vAlign w:val="center"/>
          </w:tcPr>
          <w:p w:rsidR="00063F3D" w:rsidRPr="00436AD8" w:rsidRDefault="00491B4E" w:rsidP="00191EED">
            <w:pPr>
              <w:rPr>
                <w:rFonts w:cstheme="minorHAnsi"/>
              </w:rPr>
            </w:pPr>
            <w:hyperlink r:id="rId73" w:history="1">
              <w:r w:rsidR="00063F3D" w:rsidRPr="00436AD8">
                <w:rPr>
                  <w:rStyle w:val="Hyperlink"/>
                  <w:rFonts w:cstheme="minorHAnsi"/>
                </w:rPr>
                <w:t>Other Real Estate Owned</w:t>
              </w:r>
            </w:hyperlink>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QRM</w:t>
            </w:r>
          </w:p>
        </w:tc>
        <w:tc>
          <w:tcPr>
            <w:tcW w:w="0" w:type="auto"/>
            <w:vAlign w:val="center"/>
          </w:tcPr>
          <w:p w:rsidR="00063F3D" w:rsidRPr="00436AD8" w:rsidRDefault="00063F3D" w:rsidP="00191EED">
            <w:pPr>
              <w:rPr>
                <w:rFonts w:cstheme="minorHAnsi"/>
              </w:rPr>
            </w:pPr>
            <w:r w:rsidRPr="00436AD8">
              <w:rPr>
                <w:rFonts w:cstheme="minorHAnsi"/>
              </w:rPr>
              <w:t>Qualified Residential Mortgage</w:t>
            </w:r>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Reg. B</w:t>
            </w:r>
          </w:p>
        </w:tc>
        <w:tc>
          <w:tcPr>
            <w:tcW w:w="0" w:type="auto"/>
            <w:vAlign w:val="center"/>
          </w:tcPr>
          <w:p w:rsidR="00063F3D" w:rsidRPr="00436AD8" w:rsidRDefault="00491B4E" w:rsidP="00191EED">
            <w:pPr>
              <w:rPr>
                <w:rFonts w:cstheme="minorHAnsi"/>
              </w:rPr>
            </w:pPr>
            <w:hyperlink r:id="rId74" w:history="1">
              <w:r w:rsidR="00063F3D" w:rsidRPr="00436AD8">
                <w:rPr>
                  <w:rStyle w:val="Hyperlink"/>
                  <w:rFonts w:cstheme="minorHAnsi"/>
                </w:rPr>
                <w:t>Equal Credit Opportunity</w:t>
              </w:r>
            </w:hyperlink>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Reg. C</w:t>
            </w:r>
          </w:p>
        </w:tc>
        <w:tc>
          <w:tcPr>
            <w:tcW w:w="0" w:type="auto"/>
            <w:vAlign w:val="center"/>
          </w:tcPr>
          <w:p w:rsidR="00063F3D" w:rsidRPr="00436AD8" w:rsidRDefault="00491B4E" w:rsidP="00191EED">
            <w:pPr>
              <w:rPr>
                <w:rFonts w:cstheme="minorHAnsi"/>
              </w:rPr>
            </w:pPr>
            <w:hyperlink r:id="rId75" w:history="1">
              <w:r w:rsidR="00063F3D" w:rsidRPr="00436AD8">
                <w:rPr>
                  <w:rStyle w:val="Hyperlink"/>
                  <w:rFonts w:cstheme="minorHAnsi"/>
                </w:rPr>
                <w:t>Home Mortgage Disclosure</w:t>
              </w:r>
            </w:hyperlink>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Reg. DD</w:t>
            </w:r>
          </w:p>
        </w:tc>
        <w:tc>
          <w:tcPr>
            <w:tcW w:w="0" w:type="auto"/>
            <w:vAlign w:val="center"/>
          </w:tcPr>
          <w:p w:rsidR="00063F3D" w:rsidRPr="00436AD8" w:rsidRDefault="00491B4E" w:rsidP="00191EED">
            <w:pPr>
              <w:rPr>
                <w:rFonts w:cstheme="minorHAnsi"/>
              </w:rPr>
            </w:pPr>
            <w:hyperlink r:id="rId76" w:history="1">
              <w:r w:rsidR="00063F3D" w:rsidRPr="00436AD8">
                <w:rPr>
                  <w:rStyle w:val="Hyperlink"/>
                  <w:rFonts w:cstheme="minorHAnsi"/>
                </w:rPr>
                <w:t>Truth in Savings</w:t>
              </w:r>
            </w:hyperlink>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Reg. E</w:t>
            </w:r>
          </w:p>
        </w:tc>
        <w:tc>
          <w:tcPr>
            <w:tcW w:w="0" w:type="auto"/>
            <w:vAlign w:val="center"/>
          </w:tcPr>
          <w:p w:rsidR="00063F3D" w:rsidRPr="00436AD8" w:rsidRDefault="00491B4E" w:rsidP="00191EED">
            <w:pPr>
              <w:rPr>
                <w:rFonts w:cstheme="minorHAnsi"/>
              </w:rPr>
            </w:pPr>
            <w:hyperlink r:id="rId77" w:history="1">
              <w:r w:rsidR="00063F3D" w:rsidRPr="00436AD8">
                <w:rPr>
                  <w:rStyle w:val="Hyperlink"/>
                  <w:rFonts w:cstheme="minorHAnsi"/>
                </w:rPr>
                <w:t>Electronic Fund Transfers</w:t>
              </w:r>
            </w:hyperlink>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Reg. G</w:t>
            </w:r>
          </w:p>
        </w:tc>
        <w:tc>
          <w:tcPr>
            <w:tcW w:w="0" w:type="auto"/>
            <w:vAlign w:val="center"/>
          </w:tcPr>
          <w:p w:rsidR="00063F3D" w:rsidRPr="00436AD8" w:rsidRDefault="00491B4E" w:rsidP="00191EED">
            <w:pPr>
              <w:rPr>
                <w:rFonts w:cstheme="minorHAnsi"/>
              </w:rPr>
            </w:pPr>
            <w:hyperlink r:id="rId78" w:history="1">
              <w:r w:rsidR="00063F3D" w:rsidRPr="00436AD8">
                <w:rPr>
                  <w:rStyle w:val="Hyperlink"/>
                  <w:rFonts w:cstheme="minorHAnsi"/>
                </w:rPr>
                <w:t>S.A.F.E. Mortgage Licensing Act</w:t>
              </w:r>
            </w:hyperlink>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Reg. P</w:t>
            </w:r>
          </w:p>
        </w:tc>
        <w:tc>
          <w:tcPr>
            <w:tcW w:w="0" w:type="auto"/>
            <w:vAlign w:val="center"/>
          </w:tcPr>
          <w:p w:rsidR="00063F3D" w:rsidRPr="00436AD8" w:rsidRDefault="00491B4E" w:rsidP="00191EED">
            <w:pPr>
              <w:rPr>
                <w:rFonts w:cstheme="minorHAnsi"/>
              </w:rPr>
            </w:pPr>
            <w:hyperlink r:id="rId79" w:history="1">
              <w:r w:rsidR="00063F3D" w:rsidRPr="00436AD8">
                <w:rPr>
                  <w:rStyle w:val="Hyperlink"/>
                  <w:rFonts w:cstheme="minorHAnsi"/>
                </w:rPr>
                <w:t>Privacy of Consumer Financial Information</w:t>
              </w:r>
            </w:hyperlink>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Reg. X</w:t>
            </w:r>
          </w:p>
        </w:tc>
        <w:tc>
          <w:tcPr>
            <w:tcW w:w="0" w:type="auto"/>
            <w:vAlign w:val="center"/>
          </w:tcPr>
          <w:p w:rsidR="00063F3D" w:rsidRPr="00436AD8" w:rsidRDefault="00491B4E" w:rsidP="00191EED">
            <w:pPr>
              <w:rPr>
                <w:rFonts w:cstheme="minorHAnsi"/>
              </w:rPr>
            </w:pPr>
            <w:hyperlink r:id="rId80" w:history="1">
              <w:r w:rsidR="00063F3D" w:rsidRPr="00436AD8">
                <w:rPr>
                  <w:rStyle w:val="Hyperlink"/>
                  <w:rFonts w:cstheme="minorHAnsi"/>
                </w:rPr>
                <w:t>Real Estate Settlement Procedures Act</w:t>
              </w:r>
            </w:hyperlink>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Reg. Z</w:t>
            </w:r>
          </w:p>
        </w:tc>
        <w:tc>
          <w:tcPr>
            <w:tcW w:w="0" w:type="auto"/>
            <w:vAlign w:val="center"/>
          </w:tcPr>
          <w:p w:rsidR="00063F3D" w:rsidRPr="00436AD8" w:rsidRDefault="00491B4E" w:rsidP="00191EED">
            <w:pPr>
              <w:rPr>
                <w:rFonts w:cstheme="minorHAnsi"/>
              </w:rPr>
            </w:pPr>
            <w:hyperlink r:id="rId81" w:history="1">
              <w:r w:rsidR="00063F3D" w:rsidRPr="00436AD8">
                <w:rPr>
                  <w:rStyle w:val="Hyperlink"/>
                  <w:rFonts w:cstheme="minorHAnsi"/>
                </w:rPr>
                <w:t>Truth in Lending</w:t>
              </w:r>
            </w:hyperlink>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RESPA</w:t>
            </w:r>
          </w:p>
        </w:tc>
        <w:tc>
          <w:tcPr>
            <w:tcW w:w="0" w:type="auto"/>
            <w:vAlign w:val="center"/>
          </w:tcPr>
          <w:p w:rsidR="00063F3D" w:rsidRPr="00436AD8" w:rsidRDefault="00491B4E" w:rsidP="00191EED">
            <w:pPr>
              <w:rPr>
                <w:rFonts w:cstheme="minorHAnsi"/>
              </w:rPr>
            </w:pPr>
            <w:hyperlink r:id="rId82" w:history="1">
              <w:r w:rsidR="00063F3D" w:rsidRPr="00436AD8">
                <w:rPr>
                  <w:rStyle w:val="Hyperlink"/>
                  <w:rFonts w:cstheme="minorHAnsi"/>
                </w:rPr>
                <w:t>Real Estate Settlement Procedures Act</w:t>
              </w:r>
            </w:hyperlink>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SAR</w:t>
            </w:r>
          </w:p>
        </w:tc>
        <w:tc>
          <w:tcPr>
            <w:tcW w:w="0" w:type="auto"/>
            <w:vAlign w:val="center"/>
          </w:tcPr>
          <w:p w:rsidR="00063F3D" w:rsidRPr="00436AD8" w:rsidRDefault="00491B4E" w:rsidP="00191EED">
            <w:pPr>
              <w:rPr>
                <w:rFonts w:cstheme="minorHAnsi"/>
              </w:rPr>
            </w:pPr>
            <w:hyperlink r:id="rId83" w:history="1">
              <w:r w:rsidR="00063F3D" w:rsidRPr="00436AD8">
                <w:rPr>
                  <w:rStyle w:val="Hyperlink"/>
                  <w:rFonts w:cstheme="minorHAnsi"/>
                </w:rPr>
                <w:t>Suspicious Activity Report</w:t>
              </w:r>
            </w:hyperlink>
            <w:r w:rsidR="00063F3D" w:rsidRPr="00436AD8">
              <w:rPr>
                <w:rFonts w:cstheme="minorHAnsi"/>
              </w:rPr>
              <w:t xml:space="preserve"> – Report financial institutions file with the U.S. government (FinCEN) regarding activity that </w:t>
            </w:r>
            <w:r w:rsidR="000B1726">
              <w:rPr>
                <w:rFonts w:cstheme="minorHAnsi"/>
              </w:rPr>
              <w:t>June</w:t>
            </w:r>
            <w:r w:rsidR="00063F3D" w:rsidRPr="00436AD8">
              <w:rPr>
                <w:rFonts w:cstheme="minorHAnsi"/>
              </w:rPr>
              <w:t xml:space="preserve"> be criminal in nature.</w:t>
            </w:r>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SDN</w:t>
            </w:r>
          </w:p>
        </w:tc>
        <w:tc>
          <w:tcPr>
            <w:tcW w:w="0" w:type="auto"/>
            <w:vAlign w:val="center"/>
          </w:tcPr>
          <w:p w:rsidR="00063F3D" w:rsidRPr="00436AD8" w:rsidRDefault="00063F3D" w:rsidP="00191EED">
            <w:pPr>
              <w:rPr>
                <w:rFonts w:cstheme="minorHAnsi"/>
              </w:rPr>
            </w:pPr>
            <w:r w:rsidRPr="00436AD8">
              <w:rPr>
                <w:rFonts w:cstheme="minorHAnsi"/>
              </w:rPr>
              <w:t>Specially Designated National</w:t>
            </w:r>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TILA</w:t>
            </w:r>
          </w:p>
        </w:tc>
        <w:tc>
          <w:tcPr>
            <w:tcW w:w="0" w:type="auto"/>
            <w:vAlign w:val="center"/>
          </w:tcPr>
          <w:p w:rsidR="00063F3D" w:rsidRPr="00436AD8" w:rsidRDefault="00491B4E" w:rsidP="00191EED">
            <w:pPr>
              <w:rPr>
                <w:rFonts w:cstheme="minorHAnsi"/>
              </w:rPr>
            </w:pPr>
            <w:hyperlink r:id="rId84" w:history="1">
              <w:r w:rsidR="00063F3D" w:rsidRPr="00436AD8">
                <w:rPr>
                  <w:rStyle w:val="Hyperlink"/>
                  <w:rFonts w:cstheme="minorHAnsi"/>
                </w:rPr>
                <w:t>Truth in Lending Act</w:t>
              </w:r>
            </w:hyperlink>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TIN</w:t>
            </w:r>
          </w:p>
        </w:tc>
        <w:tc>
          <w:tcPr>
            <w:tcW w:w="0" w:type="auto"/>
            <w:vAlign w:val="center"/>
          </w:tcPr>
          <w:p w:rsidR="00063F3D" w:rsidRPr="00436AD8" w:rsidRDefault="00063F3D" w:rsidP="00191EED">
            <w:pPr>
              <w:rPr>
                <w:rFonts w:cstheme="minorHAnsi"/>
              </w:rPr>
            </w:pPr>
            <w:r w:rsidRPr="00436AD8">
              <w:rPr>
                <w:rFonts w:cstheme="minorHAnsi"/>
              </w:rPr>
              <w:t>Tax Identification Number</w:t>
            </w:r>
          </w:p>
        </w:tc>
      </w:tr>
      <w:tr w:rsidR="00BE539E" w:rsidRPr="00436AD8" w:rsidTr="00191EED">
        <w:trPr>
          <w:cantSplit/>
          <w:trHeight w:val="144"/>
          <w:tblCellSpacing w:w="0" w:type="dxa"/>
        </w:trPr>
        <w:tc>
          <w:tcPr>
            <w:tcW w:w="0" w:type="auto"/>
            <w:vAlign w:val="center"/>
          </w:tcPr>
          <w:p w:rsidR="00BE539E" w:rsidRPr="00436AD8" w:rsidRDefault="00BE539E" w:rsidP="00191EED">
            <w:pPr>
              <w:rPr>
                <w:rFonts w:cstheme="minorHAnsi"/>
              </w:rPr>
            </w:pPr>
            <w:r w:rsidRPr="00436AD8">
              <w:rPr>
                <w:rFonts w:cstheme="minorHAnsi"/>
              </w:rPr>
              <w:t>Treasury</w:t>
            </w:r>
          </w:p>
        </w:tc>
        <w:tc>
          <w:tcPr>
            <w:tcW w:w="0" w:type="auto"/>
            <w:vAlign w:val="center"/>
          </w:tcPr>
          <w:p w:rsidR="00BE539E" w:rsidRPr="00436AD8" w:rsidRDefault="00491B4E" w:rsidP="00191EED">
            <w:pPr>
              <w:rPr>
                <w:rFonts w:cstheme="minorHAnsi"/>
              </w:rPr>
            </w:pPr>
            <w:hyperlink r:id="rId85" w:history="1">
              <w:r w:rsidR="00BE539E" w:rsidRPr="00436AD8">
                <w:rPr>
                  <w:rStyle w:val="Hyperlink"/>
                  <w:rFonts w:cstheme="minorHAnsi"/>
                </w:rPr>
                <w:t>U.S. Department of Treasury</w:t>
              </w:r>
            </w:hyperlink>
          </w:p>
        </w:tc>
      </w:tr>
      <w:tr w:rsidR="00BE539E" w:rsidRPr="00436AD8" w:rsidTr="00191EED">
        <w:trPr>
          <w:cantSplit/>
          <w:trHeight w:val="144"/>
          <w:tblCellSpacing w:w="0" w:type="dxa"/>
        </w:trPr>
        <w:tc>
          <w:tcPr>
            <w:tcW w:w="0" w:type="auto"/>
            <w:vAlign w:val="center"/>
          </w:tcPr>
          <w:p w:rsidR="00BE539E" w:rsidRPr="00436AD8" w:rsidRDefault="00BE539E" w:rsidP="00191EED">
            <w:pPr>
              <w:rPr>
                <w:rFonts w:cstheme="minorHAnsi"/>
              </w:rPr>
            </w:pPr>
          </w:p>
        </w:tc>
        <w:tc>
          <w:tcPr>
            <w:tcW w:w="0" w:type="auto"/>
            <w:vAlign w:val="center"/>
          </w:tcPr>
          <w:p w:rsidR="00BE539E" w:rsidRPr="00436AD8" w:rsidRDefault="00BE539E" w:rsidP="00191EED">
            <w:pPr>
              <w:rPr>
                <w:rFonts w:cstheme="minorHAnsi"/>
              </w:rPr>
            </w:pPr>
          </w:p>
        </w:tc>
      </w:tr>
    </w:tbl>
    <w:p w:rsidR="00063F3D" w:rsidRPr="00436AD8" w:rsidRDefault="00063F3D" w:rsidP="00063F3D">
      <w:pPr>
        <w:rPr>
          <w:rFonts w:cstheme="minorHAnsi"/>
          <w:b/>
        </w:rPr>
        <w:sectPr w:rsidR="00063F3D" w:rsidRPr="00436AD8" w:rsidSect="00EC6BE7">
          <w:footerReference w:type="first" r:id="rId86"/>
          <w:type w:val="continuous"/>
          <w:pgSz w:w="12240" w:h="15840"/>
          <w:pgMar w:top="720" w:right="720" w:bottom="720" w:left="720" w:header="720" w:footer="432" w:gutter="0"/>
          <w:cols w:num="2" w:space="720"/>
          <w:titlePg/>
          <w:docGrid w:linePitch="360"/>
        </w:sectPr>
      </w:pPr>
    </w:p>
    <w:p w:rsidR="00491B4E" w:rsidRDefault="00491B4E" w:rsidP="00491B4E">
      <w:pPr>
        <w:autoSpaceDE w:val="0"/>
        <w:autoSpaceDN w:val="0"/>
        <w:adjustRightInd w:val="0"/>
        <w:spacing w:after="120"/>
        <w:rPr>
          <w:rFonts w:cstheme="minorHAnsi"/>
          <w:sz w:val="18"/>
          <w:szCs w:val="18"/>
        </w:rPr>
      </w:pPr>
    </w:p>
    <w:p w:rsidR="00491B4E" w:rsidRPr="00657F38" w:rsidRDefault="00491B4E" w:rsidP="00491B4E">
      <w:pPr>
        <w:autoSpaceDE w:val="0"/>
        <w:autoSpaceDN w:val="0"/>
        <w:adjustRightInd w:val="0"/>
        <w:spacing w:after="120"/>
        <w:rPr>
          <w:rFonts w:cstheme="minorHAnsi"/>
          <w:sz w:val="18"/>
          <w:szCs w:val="18"/>
        </w:rPr>
      </w:pPr>
      <w:r w:rsidRPr="00657F38">
        <w:rPr>
          <w:rFonts w:cstheme="minorHAnsi"/>
          <w:sz w:val="18"/>
          <w:szCs w:val="18"/>
        </w:rPr>
        <w:t xml:space="preserve">This publication is designed to provide accurate and authoritative information </w:t>
      </w:r>
      <w:proofErr w:type="gramStart"/>
      <w:r w:rsidRPr="00657F38">
        <w:rPr>
          <w:rFonts w:cstheme="minorHAnsi"/>
          <w:sz w:val="18"/>
          <w:szCs w:val="18"/>
        </w:rPr>
        <w:t>in regard to</w:t>
      </w:r>
      <w:proofErr w:type="gramEnd"/>
      <w:r w:rsidRPr="00657F38">
        <w:rPr>
          <w:rFonts w:cstheme="minorHAnsi"/>
          <w:sz w:val="18"/>
          <w:szCs w:val="18"/>
        </w:rPr>
        <w:t xml:space="preserve"> the subject matter covered.  It is provided with the understanding that the publisher is not engaged in the rendering of legal, accounting or other professional advice - from a Declaration of Principles adopted by the American Bar Association and a Committee of Publishers and Associations.  © 201</w:t>
      </w:r>
      <w:r>
        <w:rPr>
          <w:rFonts w:cstheme="minorHAnsi"/>
          <w:sz w:val="18"/>
          <w:szCs w:val="18"/>
        </w:rPr>
        <w:t>8</w:t>
      </w:r>
      <w:r w:rsidRPr="00657F38">
        <w:rPr>
          <w:rFonts w:cstheme="minorHAnsi"/>
          <w:sz w:val="18"/>
          <w:szCs w:val="18"/>
        </w:rPr>
        <w:t xml:space="preserve"> </w:t>
      </w:r>
      <w:r>
        <w:rPr>
          <w:rFonts w:cstheme="minorHAnsi"/>
          <w:sz w:val="18"/>
          <w:szCs w:val="18"/>
        </w:rPr>
        <w:t>Compliance Adviser</w:t>
      </w:r>
      <w:r w:rsidRPr="00657F38">
        <w:rPr>
          <w:rFonts w:cstheme="minorHAnsi"/>
          <w:sz w:val="18"/>
          <w:szCs w:val="18"/>
        </w:rPr>
        <w:t xml:space="preserve">.  </w:t>
      </w:r>
      <w:r w:rsidRPr="00657F38">
        <w:rPr>
          <w:rFonts w:cstheme="minorHAnsi"/>
          <w:i/>
          <w:sz w:val="18"/>
          <w:szCs w:val="18"/>
        </w:rPr>
        <w:t xml:space="preserve">All rights reserved.  </w:t>
      </w:r>
      <w:r w:rsidRPr="00657F38">
        <w:rPr>
          <w:rFonts w:cstheme="minorHAnsi"/>
          <w:sz w:val="18"/>
          <w:szCs w:val="18"/>
        </w:rPr>
        <w:t xml:space="preserve">Kelly </w:t>
      </w:r>
      <w:proofErr w:type="spellStart"/>
      <w:r w:rsidRPr="00657F38">
        <w:rPr>
          <w:rFonts w:cstheme="minorHAnsi"/>
          <w:sz w:val="18"/>
          <w:szCs w:val="18"/>
        </w:rPr>
        <w:t>Goulart</w:t>
      </w:r>
      <w:proofErr w:type="spellEnd"/>
      <w:r w:rsidRPr="00657F38">
        <w:rPr>
          <w:rFonts w:cstheme="minorHAnsi"/>
          <w:sz w:val="18"/>
          <w:szCs w:val="18"/>
        </w:rPr>
        <w:t>, Editor</w:t>
      </w:r>
    </w:p>
    <w:p w:rsidR="008F6ABB" w:rsidRPr="00436AD8" w:rsidRDefault="008F6ABB" w:rsidP="00491B4E">
      <w:pPr>
        <w:rPr>
          <w:rFonts w:cstheme="minorHAnsi"/>
        </w:rPr>
      </w:pPr>
    </w:p>
    <w:sectPr w:rsidR="008F6ABB" w:rsidRPr="00436AD8" w:rsidSect="00063F3D">
      <w:footerReference w:type="first" r:id="rId87"/>
      <w:type w:val="continuous"/>
      <w:pgSz w:w="12240" w:h="15840" w:code="1"/>
      <w:pgMar w:top="720" w:right="720" w:bottom="864"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3FC" w:rsidRDefault="009023FC" w:rsidP="005E2416">
      <w:r>
        <w:separator/>
      </w:r>
    </w:p>
  </w:endnote>
  <w:endnote w:type="continuationSeparator" w:id="0">
    <w:p w:rsidR="009023FC" w:rsidRDefault="009023FC" w:rsidP="005E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ITC Avant Garde Gothic">
    <w:panose1 w:val="020B0602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ITC Avant Garde Gothic Demi">
    <w:panose1 w:val="020B0802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FC" w:rsidRPr="00436AD8" w:rsidRDefault="009023FC" w:rsidP="005E2416">
    <w:pPr>
      <w:pStyle w:val="Footer"/>
      <w:tabs>
        <w:tab w:val="clear" w:pos="4680"/>
        <w:tab w:val="clear" w:pos="9360"/>
        <w:tab w:val="center" w:pos="5400"/>
        <w:tab w:val="right" w:pos="10800"/>
      </w:tabs>
      <w:rPr>
        <w:rFonts w:cstheme="minorHAnsi"/>
        <w:b/>
        <w:color w:val="1F497D" w:themeColor="text2"/>
      </w:rPr>
    </w:pPr>
    <w:r w:rsidRPr="00436AD8">
      <w:rPr>
        <w:rFonts w:cstheme="minorHAnsi"/>
        <w:b/>
        <w:color w:val="1F497D" w:themeColor="text2"/>
      </w:rPr>
      <w:t>Capitol Comments</w:t>
    </w:r>
    <w:r w:rsidRPr="00436AD8">
      <w:rPr>
        <w:rFonts w:cstheme="minorHAnsi"/>
        <w:b/>
        <w:color w:val="1F497D" w:themeColor="text2"/>
      </w:rPr>
      <w:tab/>
    </w:r>
    <w:r>
      <w:rPr>
        <w:rFonts w:cstheme="minorHAnsi"/>
        <w:b/>
        <w:color w:val="1F497D" w:themeColor="text2"/>
      </w:rPr>
      <w:t>June</w:t>
    </w:r>
    <w:r w:rsidRPr="00436AD8">
      <w:rPr>
        <w:rFonts w:cstheme="minorHAnsi"/>
        <w:b/>
        <w:color w:val="1F497D" w:themeColor="text2"/>
      </w:rPr>
      <w:t xml:space="preserve"> 201</w:t>
    </w:r>
    <w:r>
      <w:rPr>
        <w:rFonts w:cstheme="minorHAnsi"/>
        <w:b/>
        <w:color w:val="1F497D" w:themeColor="text2"/>
      </w:rPr>
      <w:t>8</w:t>
    </w:r>
    <w:r w:rsidRPr="00436AD8">
      <w:rPr>
        <w:rFonts w:cstheme="minorHAnsi"/>
        <w:b/>
        <w:color w:val="1F497D" w:themeColor="text2"/>
      </w:rPr>
      <w:tab/>
      <w:t xml:space="preserve">Page </w:t>
    </w:r>
    <w:r w:rsidRPr="00436AD8">
      <w:rPr>
        <w:rFonts w:cstheme="minorHAnsi"/>
        <w:b/>
        <w:color w:val="1F497D" w:themeColor="text2"/>
      </w:rPr>
      <w:fldChar w:fldCharType="begin"/>
    </w:r>
    <w:r w:rsidRPr="00436AD8">
      <w:rPr>
        <w:rFonts w:cstheme="minorHAnsi"/>
        <w:b/>
        <w:color w:val="1F497D" w:themeColor="text2"/>
      </w:rPr>
      <w:instrText xml:space="preserve"> PAGE   \* MERGEFORMAT </w:instrText>
    </w:r>
    <w:r w:rsidRPr="00436AD8">
      <w:rPr>
        <w:rFonts w:cstheme="minorHAnsi"/>
        <w:b/>
        <w:color w:val="1F497D" w:themeColor="text2"/>
      </w:rPr>
      <w:fldChar w:fldCharType="separate"/>
    </w:r>
    <w:r w:rsidR="00491B4E">
      <w:rPr>
        <w:rFonts w:cstheme="minorHAnsi"/>
        <w:b/>
        <w:noProof/>
        <w:color w:val="1F497D" w:themeColor="text2"/>
      </w:rPr>
      <w:t>15</w:t>
    </w:r>
    <w:r w:rsidRPr="00436AD8">
      <w:rPr>
        <w:rFonts w:cstheme="minorHAnsi"/>
        <w:b/>
        <w:color w:val="1F497D" w:themeColor="text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FC" w:rsidRDefault="009023FC" w:rsidP="00B72C70">
    <w:pPr>
      <w:pStyle w:val="Footer"/>
      <w:tabs>
        <w:tab w:val="clear" w:pos="4680"/>
        <w:tab w:val="clear" w:pos="9360"/>
        <w:tab w:val="center" w:pos="5400"/>
        <w:tab w:val="right" w:pos="10800"/>
      </w:tabs>
      <w:rPr>
        <w:rFonts w:ascii="ITC Avant Garde Gothic Demi" w:hAnsi="ITC Avant Garde Gothic Demi"/>
        <w:color w:val="03653F"/>
      </w:rPr>
    </w:pPr>
  </w:p>
  <w:p w:rsidR="009023FC" w:rsidRPr="005E2416" w:rsidRDefault="009023FC" w:rsidP="00B72C70">
    <w:pPr>
      <w:pStyle w:val="Footer"/>
      <w:tabs>
        <w:tab w:val="clear" w:pos="4680"/>
        <w:tab w:val="clear" w:pos="9360"/>
        <w:tab w:val="center" w:pos="5400"/>
        <w:tab w:val="right" w:pos="10800"/>
      </w:tabs>
      <w:rPr>
        <w:rFonts w:ascii="ITC Avant Garde Gothic Demi" w:hAnsi="ITC Avant Garde Gothic Demi"/>
        <w:color w:val="03653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FC" w:rsidRDefault="009023FC" w:rsidP="00B72C70">
    <w:pPr>
      <w:pStyle w:val="Footer"/>
      <w:tabs>
        <w:tab w:val="clear" w:pos="4680"/>
        <w:tab w:val="clear" w:pos="9360"/>
        <w:tab w:val="center" w:pos="5400"/>
        <w:tab w:val="right" w:pos="10800"/>
      </w:tabs>
      <w:rPr>
        <w:rFonts w:ascii="ITC Avant Garde Gothic Demi" w:hAnsi="ITC Avant Garde Gothic Demi"/>
        <w:color w:val="03653F"/>
      </w:rPr>
    </w:pPr>
  </w:p>
  <w:p w:rsidR="009023FC" w:rsidRPr="005E2416" w:rsidRDefault="009023FC" w:rsidP="00B72C70">
    <w:pPr>
      <w:pStyle w:val="Footer"/>
      <w:tabs>
        <w:tab w:val="clear" w:pos="4680"/>
        <w:tab w:val="clear" w:pos="9360"/>
        <w:tab w:val="center" w:pos="5400"/>
        <w:tab w:val="right" w:pos="10800"/>
      </w:tabs>
      <w:rPr>
        <w:rFonts w:ascii="ITC Avant Garde Gothic Demi" w:hAnsi="ITC Avant Garde Gothic Demi"/>
        <w:color w:val="03653F"/>
      </w:rPr>
    </w:pPr>
    <w:r w:rsidRPr="005E2416">
      <w:rPr>
        <w:rFonts w:ascii="ITC Avant Garde Gothic Demi" w:hAnsi="ITC Avant Garde Gothic Demi"/>
        <w:color w:val="03653F"/>
      </w:rPr>
      <w:t>Capitol</w:t>
    </w:r>
    <w:r>
      <w:rPr>
        <w:rFonts w:ascii="ITC Avant Garde Gothic Demi" w:hAnsi="ITC Avant Garde Gothic Demi"/>
        <w:color w:val="03653F"/>
      </w:rPr>
      <w:t xml:space="preserve"> </w:t>
    </w:r>
    <w:r w:rsidRPr="005E2416">
      <w:rPr>
        <w:rFonts w:ascii="ITC Avant Garde Gothic Demi" w:hAnsi="ITC Avant Garde Gothic Demi"/>
        <w:color w:val="03653F"/>
      </w:rPr>
      <w:t>Comments</w:t>
    </w:r>
    <w:r w:rsidRPr="005E2416">
      <w:rPr>
        <w:rFonts w:ascii="ITC Avant Garde Gothic Demi" w:hAnsi="ITC Avant Garde Gothic Demi"/>
        <w:color w:val="03653F"/>
      </w:rPr>
      <w:tab/>
    </w:r>
    <w:r>
      <w:rPr>
        <w:rFonts w:ascii="ITC Avant Garde Gothic Demi" w:hAnsi="ITC Avant Garde Gothic Demi"/>
        <w:color w:val="03653F"/>
      </w:rPr>
      <w:t>April 2015</w:t>
    </w:r>
    <w:r w:rsidRPr="005E2416">
      <w:rPr>
        <w:rFonts w:ascii="ITC Avant Garde Gothic Demi" w:hAnsi="ITC Avant Garde Gothic Demi"/>
        <w:color w:val="03653F"/>
      </w:rPr>
      <w:tab/>
      <w:t>Page</w:t>
    </w:r>
    <w:r>
      <w:rPr>
        <w:rFonts w:ascii="ITC Avant Garde Gothic Demi" w:hAnsi="ITC Avant Garde Gothic Demi"/>
        <w:color w:val="03653F"/>
      </w:rPr>
      <w:t xml:space="preserve"> </w:t>
    </w:r>
    <w:r w:rsidRPr="005E2416">
      <w:rPr>
        <w:rFonts w:ascii="ITC Avant Garde Gothic Demi" w:hAnsi="ITC Avant Garde Gothic Demi"/>
        <w:color w:val="03653F"/>
      </w:rPr>
      <w:fldChar w:fldCharType="begin"/>
    </w:r>
    <w:r w:rsidRPr="005E2416">
      <w:rPr>
        <w:rFonts w:ascii="ITC Avant Garde Gothic Demi" w:hAnsi="ITC Avant Garde Gothic Demi"/>
        <w:color w:val="03653F"/>
      </w:rPr>
      <w:instrText xml:space="preserve"> PAGE   \* MERGEFORMAT </w:instrText>
    </w:r>
    <w:r w:rsidRPr="005E2416">
      <w:rPr>
        <w:rFonts w:ascii="ITC Avant Garde Gothic Demi" w:hAnsi="ITC Avant Garde Gothic Demi"/>
        <w:color w:val="03653F"/>
      </w:rPr>
      <w:fldChar w:fldCharType="separate"/>
    </w:r>
    <w:r w:rsidR="00491B4E">
      <w:rPr>
        <w:rFonts w:ascii="ITC Avant Garde Gothic Demi" w:hAnsi="ITC Avant Garde Gothic Demi"/>
        <w:noProof/>
        <w:color w:val="03653F"/>
      </w:rPr>
      <w:t>14</w:t>
    </w:r>
    <w:r w:rsidRPr="005E2416">
      <w:rPr>
        <w:rFonts w:ascii="ITC Avant Garde Gothic Demi" w:hAnsi="ITC Avant Garde Gothic Demi"/>
        <w:color w:val="03653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FC" w:rsidRDefault="009023FC" w:rsidP="00B72C70">
    <w:pPr>
      <w:pStyle w:val="Footer"/>
      <w:tabs>
        <w:tab w:val="clear" w:pos="4680"/>
        <w:tab w:val="clear" w:pos="9360"/>
        <w:tab w:val="center" w:pos="5400"/>
        <w:tab w:val="right" w:pos="10800"/>
      </w:tabs>
      <w:rPr>
        <w:rFonts w:ascii="ITC Avant Garde Gothic Demi" w:hAnsi="ITC Avant Garde Gothic Demi"/>
        <w:color w:val="03653F"/>
      </w:rPr>
    </w:pPr>
  </w:p>
  <w:p w:rsidR="009023FC" w:rsidRPr="005E2416" w:rsidRDefault="009023FC" w:rsidP="00B72C70">
    <w:pPr>
      <w:pStyle w:val="Footer"/>
      <w:tabs>
        <w:tab w:val="clear" w:pos="4680"/>
        <w:tab w:val="clear" w:pos="9360"/>
        <w:tab w:val="center" w:pos="5400"/>
        <w:tab w:val="right" w:pos="10800"/>
      </w:tabs>
      <w:rPr>
        <w:rFonts w:ascii="ITC Avant Garde Gothic Demi" w:hAnsi="ITC Avant Garde Gothic Demi"/>
        <w:color w:val="03653F"/>
      </w:rPr>
    </w:pPr>
    <w:r w:rsidRPr="005E2416">
      <w:rPr>
        <w:rFonts w:ascii="ITC Avant Garde Gothic Demi" w:hAnsi="ITC Avant Garde Gothic Demi"/>
        <w:color w:val="03653F"/>
      </w:rPr>
      <w:t>Capitol</w:t>
    </w:r>
    <w:r>
      <w:rPr>
        <w:rFonts w:ascii="ITC Avant Garde Gothic Demi" w:hAnsi="ITC Avant Garde Gothic Demi"/>
        <w:color w:val="03653F"/>
      </w:rPr>
      <w:t xml:space="preserve"> </w:t>
    </w:r>
    <w:r w:rsidRPr="005E2416">
      <w:rPr>
        <w:rFonts w:ascii="ITC Avant Garde Gothic Demi" w:hAnsi="ITC Avant Garde Gothic Demi"/>
        <w:color w:val="03653F"/>
      </w:rPr>
      <w:t>Comments</w:t>
    </w:r>
    <w:r w:rsidRPr="005E2416">
      <w:rPr>
        <w:rFonts w:ascii="ITC Avant Garde Gothic Demi" w:hAnsi="ITC Avant Garde Gothic Demi"/>
        <w:color w:val="03653F"/>
      </w:rPr>
      <w:tab/>
    </w:r>
    <w:r>
      <w:rPr>
        <w:rFonts w:ascii="ITC Avant Garde Gothic Demi" w:hAnsi="ITC Avant Garde Gothic Demi"/>
        <w:color w:val="03653F"/>
      </w:rPr>
      <w:t>April 2015</w:t>
    </w:r>
    <w:r w:rsidRPr="005E2416">
      <w:rPr>
        <w:rFonts w:ascii="ITC Avant Garde Gothic Demi" w:hAnsi="ITC Avant Garde Gothic Demi"/>
        <w:color w:val="03653F"/>
      </w:rPr>
      <w:tab/>
      <w:t>Page</w:t>
    </w:r>
    <w:r>
      <w:rPr>
        <w:rFonts w:ascii="ITC Avant Garde Gothic Demi" w:hAnsi="ITC Avant Garde Gothic Demi"/>
        <w:color w:val="03653F"/>
      </w:rPr>
      <w:t xml:space="preserve"> </w:t>
    </w:r>
    <w:r w:rsidRPr="005E2416">
      <w:rPr>
        <w:rFonts w:ascii="ITC Avant Garde Gothic Demi" w:hAnsi="ITC Avant Garde Gothic Demi"/>
        <w:color w:val="03653F"/>
      </w:rPr>
      <w:fldChar w:fldCharType="begin"/>
    </w:r>
    <w:r w:rsidRPr="005E2416">
      <w:rPr>
        <w:rFonts w:ascii="ITC Avant Garde Gothic Demi" w:hAnsi="ITC Avant Garde Gothic Demi"/>
        <w:color w:val="03653F"/>
      </w:rPr>
      <w:instrText xml:space="preserve"> PAGE   \* MERGEFORMAT </w:instrText>
    </w:r>
    <w:r w:rsidRPr="005E2416">
      <w:rPr>
        <w:rFonts w:ascii="ITC Avant Garde Gothic Demi" w:hAnsi="ITC Avant Garde Gothic Demi"/>
        <w:color w:val="03653F"/>
      </w:rPr>
      <w:fldChar w:fldCharType="separate"/>
    </w:r>
    <w:r>
      <w:rPr>
        <w:rFonts w:ascii="ITC Avant Garde Gothic Demi" w:hAnsi="ITC Avant Garde Gothic Demi"/>
        <w:noProof/>
        <w:color w:val="03653F"/>
      </w:rPr>
      <w:t>21</w:t>
    </w:r>
    <w:r w:rsidRPr="005E2416">
      <w:rPr>
        <w:rFonts w:ascii="ITC Avant Garde Gothic Demi" w:hAnsi="ITC Avant Garde Gothic Demi"/>
        <w:color w:val="03653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3FC" w:rsidRDefault="009023FC" w:rsidP="005E2416">
      <w:r>
        <w:separator/>
      </w:r>
    </w:p>
  </w:footnote>
  <w:footnote w:type="continuationSeparator" w:id="0">
    <w:p w:rsidR="009023FC" w:rsidRDefault="009023FC" w:rsidP="005E2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6430"/>
    <w:multiLevelType w:val="hybridMultilevel"/>
    <w:tmpl w:val="A5AC5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5A6C41"/>
    <w:multiLevelType w:val="multilevel"/>
    <w:tmpl w:val="6D048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36FE8"/>
    <w:multiLevelType w:val="multilevel"/>
    <w:tmpl w:val="C71AD750"/>
    <w:lvl w:ilvl="0">
      <w:start w:val="1"/>
      <w:numFmt w:val="bullet"/>
      <w:pStyle w:val="CC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8731C7B"/>
    <w:multiLevelType w:val="multilevel"/>
    <w:tmpl w:val="9E220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1E4F9D"/>
    <w:multiLevelType w:val="multilevel"/>
    <w:tmpl w:val="FC90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E224C6"/>
    <w:multiLevelType w:val="multilevel"/>
    <w:tmpl w:val="0E1E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CF46A9"/>
    <w:multiLevelType w:val="multilevel"/>
    <w:tmpl w:val="26F4E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6576CC"/>
    <w:multiLevelType w:val="hybridMultilevel"/>
    <w:tmpl w:val="61CE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E3A1F"/>
    <w:multiLevelType w:val="multilevel"/>
    <w:tmpl w:val="E0C8E8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A15DC4"/>
    <w:multiLevelType w:val="hybridMultilevel"/>
    <w:tmpl w:val="F350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F5C52"/>
    <w:multiLevelType w:val="hybridMultilevel"/>
    <w:tmpl w:val="159C500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1" w15:restartNumberingAfterBreak="0">
    <w:nsid w:val="30F7239B"/>
    <w:multiLevelType w:val="hybridMultilevel"/>
    <w:tmpl w:val="6DEA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3D7CB1"/>
    <w:multiLevelType w:val="multilevel"/>
    <w:tmpl w:val="E658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7B5179"/>
    <w:multiLevelType w:val="hybridMultilevel"/>
    <w:tmpl w:val="9BFC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CF1E30"/>
    <w:multiLevelType w:val="multilevel"/>
    <w:tmpl w:val="BAB2BD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2B10C3"/>
    <w:multiLevelType w:val="hybridMultilevel"/>
    <w:tmpl w:val="63EC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219AF"/>
    <w:multiLevelType w:val="multilevel"/>
    <w:tmpl w:val="8B04882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075953"/>
    <w:multiLevelType w:val="hybridMultilevel"/>
    <w:tmpl w:val="2784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55493"/>
    <w:multiLevelType w:val="multilevel"/>
    <w:tmpl w:val="AE9C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0D3DC5"/>
    <w:multiLevelType w:val="hybridMultilevel"/>
    <w:tmpl w:val="CB16C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ED217F0"/>
    <w:multiLevelType w:val="multilevel"/>
    <w:tmpl w:val="05C0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176650"/>
    <w:multiLevelType w:val="multilevel"/>
    <w:tmpl w:val="CB3C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605FA3"/>
    <w:multiLevelType w:val="multilevel"/>
    <w:tmpl w:val="647E8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EC2706"/>
    <w:multiLevelType w:val="multilevel"/>
    <w:tmpl w:val="851C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770ED0"/>
    <w:multiLevelType w:val="multilevel"/>
    <w:tmpl w:val="D31E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4B1E06"/>
    <w:multiLevelType w:val="hybridMultilevel"/>
    <w:tmpl w:val="18B43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5B9728E"/>
    <w:multiLevelType w:val="hybridMultilevel"/>
    <w:tmpl w:val="DE2A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136315"/>
    <w:multiLevelType w:val="hybridMultilevel"/>
    <w:tmpl w:val="D48C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574B2"/>
    <w:multiLevelType w:val="hybridMultilevel"/>
    <w:tmpl w:val="6824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F73A2C"/>
    <w:multiLevelType w:val="hybridMultilevel"/>
    <w:tmpl w:val="AD263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D0938AF"/>
    <w:multiLevelType w:val="multilevel"/>
    <w:tmpl w:val="A394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6E268C"/>
    <w:multiLevelType w:val="hybridMultilevel"/>
    <w:tmpl w:val="1C984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8C7114"/>
    <w:multiLevelType w:val="hybridMultilevel"/>
    <w:tmpl w:val="D7A8C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2B1F6A"/>
    <w:multiLevelType w:val="hybridMultilevel"/>
    <w:tmpl w:val="BB16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C92A6D"/>
    <w:multiLevelType w:val="hybridMultilevel"/>
    <w:tmpl w:val="9A6A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202387"/>
    <w:multiLevelType w:val="hybridMultilevel"/>
    <w:tmpl w:val="5C22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22"/>
  </w:num>
  <w:num w:numId="4">
    <w:abstractNumId w:val="30"/>
  </w:num>
  <w:num w:numId="5">
    <w:abstractNumId w:val="18"/>
  </w:num>
  <w:num w:numId="6">
    <w:abstractNumId w:val="5"/>
  </w:num>
  <w:num w:numId="7">
    <w:abstractNumId w:val="16"/>
  </w:num>
  <w:num w:numId="8">
    <w:abstractNumId w:val="23"/>
  </w:num>
  <w:num w:numId="9">
    <w:abstractNumId w:val="4"/>
  </w:num>
  <w:num w:numId="10">
    <w:abstractNumId w:val="1"/>
  </w:num>
  <w:num w:numId="11">
    <w:abstractNumId w:val="6"/>
  </w:num>
  <w:num w:numId="12">
    <w:abstractNumId w:val="20"/>
  </w:num>
  <w:num w:numId="13">
    <w:abstractNumId w:val="21"/>
  </w:num>
  <w:num w:numId="14">
    <w:abstractNumId w:val="25"/>
  </w:num>
  <w:num w:numId="15">
    <w:abstractNumId w:val="0"/>
  </w:num>
  <w:num w:numId="16">
    <w:abstractNumId w:val="29"/>
  </w:num>
  <w:num w:numId="17">
    <w:abstractNumId w:val="10"/>
  </w:num>
  <w:num w:numId="18">
    <w:abstractNumId w:val="19"/>
  </w:num>
  <w:num w:numId="19">
    <w:abstractNumId w:val="3"/>
  </w:num>
  <w:num w:numId="20">
    <w:abstractNumId w:val="8"/>
  </w:num>
  <w:num w:numId="21">
    <w:abstractNumId w:val="14"/>
  </w:num>
  <w:num w:numId="22">
    <w:abstractNumId w:val="12"/>
  </w:num>
  <w:num w:numId="23">
    <w:abstractNumId w:val="7"/>
  </w:num>
  <w:num w:numId="24">
    <w:abstractNumId w:val="9"/>
  </w:num>
  <w:num w:numId="25">
    <w:abstractNumId w:val="32"/>
  </w:num>
  <w:num w:numId="26">
    <w:abstractNumId w:val="27"/>
  </w:num>
  <w:num w:numId="27">
    <w:abstractNumId w:val="34"/>
  </w:num>
  <w:num w:numId="28">
    <w:abstractNumId w:val="26"/>
  </w:num>
  <w:num w:numId="29">
    <w:abstractNumId w:val="35"/>
  </w:num>
  <w:num w:numId="30">
    <w:abstractNumId w:val="15"/>
  </w:num>
  <w:num w:numId="31">
    <w:abstractNumId w:val="17"/>
  </w:num>
  <w:num w:numId="32">
    <w:abstractNumId w:val="11"/>
  </w:num>
  <w:num w:numId="33">
    <w:abstractNumId w:val="28"/>
  </w:num>
  <w:num w:numId="34">
    <w:abstractNumId w:val="13"/>
  </w:num>
  <w:num w:numId="35">
    <w:abstractNumId w:val="33"/>
  </w:num>
  <w:num w:numId="36">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16"/>
    <w:rsid w:val="00000218"/>
    <w:rsid w:val="00000816"/>
    <w:rsid w:val="00000AEE"/>
    <w:rsid w:val="00000CE8"/>
    <w:rsid w:val="00001323"/>
    <w:rsid w:val="00001FAA"/>
    <w:rsid w:val="00002D32"/>
    <w:rsid w:val="000030B5"/>
    <w:rsid w:val="0001026E"/>
    <w:rsid w:val="000112AB"/>
    <w:rsid w:val="00011B51"/>
    <w:rsid w:val="00012841"/>
    <w:rsid w:val="00012A95"/>
    <w:rsid w:val="00014C5B"/>
    <w:rsid w:val="00014ED1"/>
    <w:rsid w:val="000159BF"/>
    <w:rsid w:val="000165FA"/>
    <w:rsid w:val="0002131A"/>
    <w:rsid w:val="00021889"/>
    <w:rsid w:val="000219FE"/>
    <w:rsid w:val="00022079"/>
    <w:rsid w:val="000234E3"/>
    <w:rsid w:val="00023BC6"/>
    <w:rsid w:val="000247B5"/>
    <w:rsid w:val="00024948"/>
    <w:rsid w:val="000257D1"/>
    <w:rsid w:val="00026F02"/>
    <w:rsid w:val="00032E07"/>
    <w:rsid w:val="000336AA"/>
    <w:rsid w:val="000338DA"/>
    <w:rsid w:val="00035AC9"/>
    <w:rsid w:val="00040120"/>
    <w:rsid w:val="00040375"/>
    <w:rsid w:val="00040542"/>
    <w:rsid w:val="000408B9"/>
    <w:rsid w:val="00044E1D"/>
    <w:rsid w:val="00046489"/>
    <w:rsid w:val="00047119"/>
    <w:rsid w:val="000474D5"/>
    <w:rsid w:val="00050ED6"/>
    <w:rsid w:val="00052160"/>
    <w:rsid w:val="00052176"/>
    <w:rsid w:val="00052C77"/>
    <w:rsid w:val="0005333A"/>
    <w:rsid w:val="000545E0"/>
    <w:rsid w:val="000549F5"/>
    <w:rsid w:val="00054EA9"/>
    <w:rsid w:val="00055DE5"/>
    <w:rsid w:val="0005732E"/>
    <w:rsid w:val="000600CA"/>
    <w:rsid w:val="00060967"/>
    <w:rsid w:val="00060FB6"/>
    <w:rsid w:val="00062673"/>
    <w:rsid w:val="000632FF"/>
    <w:rsid w:val="00063F3D"/>
    <w:rsid w:val="00065D7A"/>
    <w:rsid w:val="00066E97"/>
    <w:rsid w:val="000706D9"/>
    <w:rsid w:val="00070A4C"/>
    <w:rsid w:val="000714E0"/>
    <w:rsid w:val="0007189B"/>
    <w:rsid w:val="00071F6F"/>
    <w:rsid w:val="00073CD9"/>
    <w:rsid w:val="00074829"/>
    <w:rsid w:val="0007565B"/>
    <w:rsid w:val="00075669"/>
    <w:rsid w:val="00077034"/>
    <w:rsid w:val="00077C3B"/>
    <w:rsid w:val="00081B98"/>
    <w:rsid w:val="00083948"/>
    <w:rsid w:val="00084FC3"/>
    <w:rsid w:val="000904E4"/>
    <w:rsid w:val="00091168"/>
    <w:rsid w:val="00091865"/>
    <w:rsid w:val="0009355E"/>
    <w:rsid w:val="0009634C"/>
    <w:rsid w:val="000973E5"/>
    <w:rsid w:val="000977DA"/>
    <w:rsid w:val="00097CCB"/>
    <w:rsid w:val="00097E64"/>
    <w:rsid w:val="000A1AF4"/>
    <w:rsid w:val="000A2FA7"/>
    <w:rsid w:val="000A32BC"/>
    <w:rsid w:val="000A33C1"/>
    <w:rsid w:val="000A41EA"/>
    <w:rsid w:val="000A4F1B"/>
    <w:rsid w:val="000A5EEB"/>
    <w:rsid w:val="000B1726"/>
    <w:rsid w:val="000B1F96"/>
    <w:rsid w:val="000B3F44"/>
    <w:rsid w:val="000B64E8"/>
    <w:rsid w:val="000B65CC"/>
    <w:rsid w:val="000C38E1"/>
    <w:rsid w:val="000C3C10"/>
    <w:rsid w:val="000C59A1"/>
    <w:rsid w:val="000C6C5C"/>
    <w:rsid w:val="000C79F8"/>
    <w:rsid w:val="000C7C83"/>
    <w:rsid w:val="000D5ED6"/>
    <w:rsid w:val="000D5EDC"/>
    <w:rsid w:val="000D63CB"/>
    <w:rsid w:val="000D63FA"/>
    <w:rsid w:val="000D6AD2"/>
    <w:rsid w:val="000D6C5E"/>
    <w:rsid w:val="000D6EB9"/>
    <w:rsid w:val="000D70F8"/>
    <w:rsid w:val="000D7378"/>
    <w:rsid w:val="000D7ABE"/>
    <w:rsid w:val="000E0779"/>
    <w:rsid w:val="000E3316"/>
    <w:rsid w:val="000E3520"/>
    <w:rsid w:val="000E523A"/>
    <w:rsid w:val="000F0EC9"/>
    <w:rsid w:val="000F2564"/>
    <w:rsid w:val="000F5142"/>
    <w:rsid w:val="000F5252"/>
    <w:rsid w:val="000F5E3B"/>
    <w:rsid w:val="001018EF"/>
    <w:rsid w:val="00106796"/>
    <w:rsid w:val="00111857"/>
    <w:rsid w:val="00113146"/>
    <w:rsid w:val="001137DD"/>
    <w:rsid w:val="00114916"/>
    <w:rsid w:val="00115C92"/>
    <w:rsid w:val="001166B9"/>
    <w:rsid w:val="00116F2C"/>
    <w:rsid w:val="00121357"/>
    <w:rsid w:val="0012161C"/>
    <w:rsid w:val="00122BDA"/>
    <w:rsid w:val="00125670"/>
    <w:rsid w:val="00125758"/>
    <w:rsid w:val="00125C9D"/>
    <w:rsid w:val="00130132"/>
    <w:rsid w:val="0013265B"/>
    <w:rsid w:val="001338F2"/>
    <w:rsid w:val="0013587B"/>
    <w:rsid w:val="00140DDA"/>
    <w:rsid w:val="00140F9F"/>
    <w:rsid w:val="00141797"/>
    <w:rsid w:val="00141C47"/>
    <w:rsid w:val="00142283"/>
    <w:rsid w:val="00143B20"/>
    <w:rsid w:val="001444F3"/>
    <w:rsid w:val="00144D33"/>
    <w:rsid w:val="001459F0"/>
    <w:rsid w:val="00145CE6"/>
    <w:rsid w:val="001463B4"/>
    <w:rsid w:val="00147656"/>
    <w:rsid w:val="00147F35"/>
    <w:rsid w:val="00154231"/>
    <w:rsid w:val="001547EA"/>
    <w:rsid w:val="00155B85"/>
    <w:rsid w:val="00157E58"/>
    <w:rsid w:val="001604EC"/>
    <w:rsid w:val="00164B16"/>
    <w:rsid w:val="00164D32"/>
    <w:rsid w:val="00167281"/>
    <w:rsid w:val="00167F99"/>
    <w:rsid w:val="001700E0"/>
    <w:rsid w:val="00172281"/>
    <w:rsid w:val="00173D52"/>
    <w:rsid w:val="00175D89"/>
    <w:rsid w:val="0017728A"/>
    <w:rsid w:val="00177945"/>
    <w:rsid w:val="00177EE2"/>
    <w:rsid w:val="0018071C"/>
    <w:rsid w:val="001815C8"/>
    <w:rsid w:val="00183970"/>
    <w:rsid w:val="00186139"/>
    <w:rsid w:val="00191D02"/>
    <w:rsid w:val="00191EED"/>
    <w:rsid w:val="001944CD"/>
    <w:rsid w:val="00195C39"/>
    <w:rsid w:val="001A1999"/>
    <w:rsid w:val="001A552D"/>
    <w:rsid w:val="001A59ED"/>
    <w:rsid w:val="001A5F94"/>
    <w:rsid w:val="001A6AD5"/>
    <w:rsid w:val="001A7B94"/>
    <w:rsid w:val="001B051A"/>
    <w:rsid w:val="001B07EA"/>
    <w:rsid w:val="001B136B"/>
    <w:rsid w:val="001B2A9B"/>
    <w:rsid w:val="001B332E"/>
    <w:rsid w:val="001B4EFD"/>
    <w:rsid w:val="001C04BE"/>
    <w:rsid w:val="001C2419"/>
    <w:rsid w:val="001C3107"/>
    <w:rsid w:val="001C4E90"/>
    <w:rsid w:val="001C5595"/>
    <w:rsid w:val="001C6CC1"/>
    <w:rsid w:val="001D0693"/>
    <w:rsid w:val="001D2F0F"/>
    <w:rsid w:val="001D304D"/>
    <w:rsid w:val="001D4076"/>
    <w:rsid w:val="001D5E46"/>
    <w:rsid w:val="001D6F5C"/>
    <w:rsid w:val="001E01F5"/>
    <w:rsid w:val="001E115D"/>
    <w:rsid w:val="001E3B58"/>
    <w:rsid w:val="001E412C"/>
    <w:rsid w:val="001E7DF6"/>
    <w:rsid w:val="001F039A"/>
    <w:rsid w:val="001F2350"/>
    <w:rsid w:val="001F32AF"/>
    <w:rsid w:val="001F4182"/>
    <w:rsid w:val="001F4E19"/>
    <w:rsid w:val="001F57F9"/>
    <w:rsid w:val="001F60C9"/>
    <w:rsid w:val="001F6388"/>
    <w:rsid w:val="001F73DD"/>
    <w:rsid w:val="002008E4"/>
    <w:rsid w:val="00200A97"/>
    <w:rsid w:val="00202994"/>
    <w:rsid w:val="00203AD8"/>
    <w:rsid w:val="0020586D"/>
    <w:rsid w:val="002073FD"/>
    <w:rsid w:val="00207602"/>
    <w:rsid w:val="0021057F"/>
    <w:rsid w:val="00211CEA"/>
    <w:rsid w:val="00212087"/>
    <w:rsid w:val="002155BD"/>
    <w:rsid w:val="002159E3"/>
    <w:rsid w:val="00217AF2"/>
    <w:rsid w:val="002221C5"/>
    <w:rsid w:val="00222222"/>
    <w:rsid w:val="00230EE7"/>
    <w:rsid w:val="002317BB"/>
    <w:rsid w:val="00233A1F"/>
    <w:rsid w:val="00241553"/>
    <w:rsid w:val="002415ED"/>
    <w:rsid w:val="00242B70"/>
    <w:rsid w:val="00242F4B"/>
    <w:rsid w:val="00243C22"/>
    <w:rsid w:val="0024457E"/>
    <w:rsid w:val="00245E19"/>
    <w:rsid w:val="00246580"/>
    <w:rsid w:val="0024752B"/>
    <w:rsid w:val="00250131"/>
    <w:rsid w:val="0025304A"/>
    <w:rsid w:val="00253DFB"/>
    <w:rsid w:val="00255F06"/>
    <w:rsid w:val="00256A15"/>
    <w:rsid w:val="00257D95"/>
    <w:rsid w:val="002662EE"/>
    <w:rsid w:val="002669DA"/>
    <w:rsid w:val="00267A49"/>
    <w:rsid w:val="002711E9"/>
    <w:rsid w:val="00271217"/>
    <w:rsid w:val="00271F03"/>
    <w:rsid w:val="00274B81"/>
    <w:rsid w:val="00275403"/>
    <w:rsid w:val="00276122"/>
    <w:rsid w:val="002768A8"/>
    <w:rsid w:val="00276C6E"/>
    <w:rsid w:val="0027771E"/>
    <w:rsid w:val="00280864"/>
    <w:rsid w:val="0028170D"/>
    <w:rsid w:val="00281E5B"/>
    <w:rsid w:val="002832D9"/>
    <w:rsid w:val="00284009"/>
    <w:rsid w:val="002856CA"/>
    <w:rsid w:val="002865DD"/>
    <w:rsid w:val="00290050"/>
    <w:rsid w:val="002905F0"/>
    <w:rsid w:val="00290740"/>
    <w:rsid w:val="00291D66"/>
    <w:rsid w:val="002A1141"/>
    <w:rsid w:val="002A2A8C"/>
    <w:rsid w:val="002A35D1"/>
    <w:rsid w:val="002A43A1"/>
    <w:rsid w:val="002B080D"/>
    <w:rsid w:val="002B2599"/>
    <w:rsid w:val="002B4657"/>
    <w:rsid w:val="002B78AC"/>
    <w:rsid w:val="002C1466"/>
    <w:rsid w:val="002C4FA2"/>
    <w:rsid w:val="002C6A54"/>
    <w:rsid w:val="002D1907"/>
    <w:rsid w:val="002D20B9"/>
    <w:rsid w:val="002D568B"/>
    <w:rsid w:val="002D5B56"/>
    <w:rsid w:val="002D5F40"/>
    <w:rsid w:val="002D6018"/>
    <w:rsid w:val="002D673E"/>
    <w:rsid w:val="002D6C8E"/>
    <w:rsid w:val="002E19F1"/>
    <w:rsid w:val="002E2B62"/>
    <w:rsid w:val="002E2F46"/>
    <w:rsid w:val="002E42BB"/>
    <w:rsid w:val="002E5154"/>
    <w:rsid w:val="002E6418"/>
    <w:rsid w:val="002E6960"/>
    <w:rsid w:val="002F0294"/>
    <w:rsid w:val="002F11AD"/>
    <w:rsid w:val="002F14B7"/>
    <w:rsid w:val="002F2B1C"/>
    <w:rsid w:val="002F52F9"/>
    <w:rsid w:val="002F669E"/>
    <w:rsid w:val="00300144"/>
    <w:rsid w:val="0030095C"/>
    <w:rsid w:val="00301B92"/>
    <w:rsid w:val="00301C58"/>
    <w:rsid w:val="00303A66"/>
    <w:rsid w:val="00303D13"/>
    <w:rsid w:val="003044ED"/>
    <w:rsid w:val="00306FF8"/>
    <w:rsid w:val="0030717B"/>
    <w:rsid w:val="00307283"/>
    <w:rsid w:val="00307AA9"/>
    <w:rsid w:val="00310237"/>
    <w:rsid w:val="00311320"/>
    <w:rsid w:val="00313A84"/>
    <w:rsid w:val="00313CE9"/>
    <w:rsid w:val="003163DE"/>
    <w:rsid w:val="00323369"/>
    <w:rsid w:val="0032348B"/>
    <w:rsid w:val="0032589C"/>
    <w:rsid w:val="003268D2"/>
    <w:rsid w:val="003273BC"/>
    <w:rsid w:val="003276B1"/>
    <w:rsid w:val="003304FC"/>
    <w:rsid w:val="003312A1"/>
    <w:rsid w:val="003328A0"/>
    <w:rsid w:val="00334478"/>
    <w:rsid w:val="00335314"/>
    <w:rsid w:val="00335DF3"/>
    <w:rsid w:val="00337B3D"/>
    <w:rsid w:val="00340080"/>
    <w:rsid w:val="0034104D"/>
    <w:rsid w:val="00341056"/>
    <w:rsid w:val="00342073"/>
    <w:rsid w:val="00344B1F"/>
    <w:rsid w:val="003450EA"/>
    <w:rsid w:val="0034584A"/>
    <w:rsid w:val="00346F55"/>
    <w:rsid w:val="003473A9"/>
    <w:rsid w:val="00351099"/>
    <w:rsid w:val="00352FDE"/>
    <w:rsid w:val="003546D6"/>
    <w:rsid w:val="0035488A"/>
    <w:rsid w:val="00354ADD"/>
    <w:rsid w:val="00355859"/>
    <w:rsid w:val="00356709"/>
    <w:rsid w:val="00356A3E"/>
    <w:rsid w:val="00360826"/>
    <w:rsid w:val="0036440E"/>
    <w:rsid w:val="00364E49"/>
    <w:rsid w:val="00366848"/>
    <w:rsid w:val="00366D64"/>
    <w:rsid w:val="0036757F"/>
    <w:rsid w:val="003719FA"/>
    <w:rsid w:val="00371FD5"/>
    <w:rsid w:val="003727DC"/>
    <w:rsid w:val="003765EB"/>
    <w:rsid w:val="00377DC4"/>
    <w:rsid w:val="00377EFC"/>
    <w:rsid w:val="003800F3"/>
    <w:rsid w:val="003802BC"/>
    <w:rsid w:val="003821A1"/>
    <w:rsid w:val="00383ABD"/>
    <w:rsid w:val="0038424F"/>
    <w:rsid w:val="00385B25"/>
    <w:rsid w:val="00386945"/>
    <w:rsid w:val="003879D5"/>
    <w:rsid w:val="00395846"/>
    <w:rsid w:val="003959E7"/>
    <w:rsid w:val="00395C2F"/>
    <w:rsid w:val="003A39F4"/>
    <w:rsid w:val="003A4042"/>
    <w:rsid w:val="003A4568"/>
    <w:rsid w:val="003B2298"/>
    <w:rsid w:val="003B3BD5"/>
    <w:rsid w:val="003B4933"/>
    <w:rsid w:val="003B5050"/>
    <w:rsid w:val="003B5A25"/>
    <w:rsid w:val="003B63F6"/>
    <w:rsid w:val="003B6929"/>
    <w:rsid w:val="003C002D"/>
    <w:rsid w:val="003C01C7"/>
    <w:rsid w:val="003C08C0"/>
    <w:rsid w:val="003C1928"/>
    <w:rsid w:val="003C20D5"/>
    <w:rsid w:val="003C38F7"/>
    <w:rsid w:val="003C4EC3"/>
    <w:rsid w:val="003C74B3"/>
    <w:rsid w:val="003C782F"/>
    <w:rsid w:val="003D0E91"/>
    <w:rsid w:val="003D0F3E"/>
    <w:rsid w:val="003D222E"/>
    <w:rsid w:val="003D24F6"/>
    <w:rsid w:val="003E1759"/>
    <w:rsid w:val="003E21BF"/>
    <w:rsid w:val="003E22EE"/>
    <w:rsid w:val="003E23A6"/>
    <w:rsid w:val="003E36C4"/>
    <w:rsid w:val="003E4792"/>
    <w:rsid w:val="003E77ED"/>
    <w:rsid w:val="003F00A7"/>
    <w:rsid w:val="003F0D08"/>
    <w:rsid w:val="003F22BD"/>
    <w:rsid w:val="003F2699"/>
    <w:rsid w:val="003F32F8"/>
    <w:rsid w:val="003F456B"/>
    <w:rsid w:val="003F5638"/>
    <w:rsid w:val="0040382B"/>
    <w:rsid w:val="00404A1C"/>
    <w:rsid w:val="0040626A"/>
    <w:rsid w:val="00407E0F"/>
    <w:rsid w:val="00411FC5"/>
    <w:rsid w:val="00413191"/>
    <w:rsid w:val="00413877"/>
    <w:rsid w:val="00415F5D"/>
    <w:rsid w:val="00416161"/>
    <w:rsid w:val="004162A9"/>
    <w:rsid w:val="00417DDA"/>
    <w:rsid w:val="00421D07"/>
    <w:rsid w:val="00422FC9"/>
    <w:rsid w:val="00423B91"/>
    <w:rsid w:val="0042412F"/>
    <w:rsid w:val="00425826"/>
    <w:rsid w:val="00425A3A"/>
    <w:rsid w:val="00426A48"/>
    <w:rsid w:val="0043221B"/>
    <w:rsid w:val="004330BF"/>
    <w:rsid w:val="0043342E"/>
    <w:rsid w:val="0043410A"/>
    <w:rsid w:val="00434205"/>
    <w:rsid w:val="00434510"/>
    <w:rsid w:val="00435355"/>
    <w:rsid w:val="00435BD6"/>
    <w:rsid w:val="00436033"/>
    <w:rsid w:val="004366E4"/>
    <w:rsid w:val="00436AD8"/>
    <w:rsid w:val="00440C8E"/>
    <w:rsid w:val="00441CA4"/>
    <w:rsid w:val="00442BAB"/>
    <w:rsid w:val="00442F94"/>
    <w:rsid w:val="00443D42"/>
    <w:rsid w:val="00443EE4"/>
    <w:rsid w:val="00444B58"/>
    <w:rsid w:val="00444D26"/>
    <w:rsid w:val="0044548C"/>
    <w:rsid w:val="00447833"/>
    <w:rsid w:val="00447D6F"/>
    <w:rsid w:val="004509F4"/>
    <w:rsid w:val="0045100C"/>
    <w:rsid w:val="004522CB"/>
    <w:rsid w:val="00452D02"/>
    <w:rsid w:val="00455296"/>
    <w:rsid w:val="00456EBC"/>
    <w:rsid w:val="00457425"/>
    <w:rsid w:val="00460842"/>
    <w:rsid w:val="00463EBF"/>
    <w:rsid w:val="00464050"/>
    <w:rsid w:val="0046532E"/>
    <w:rsid w:val="004661F1"/>
    <w:rsid w:val="00467DEB"/>
    <w:rsid w:val="00467E11"/>
    <w:rsid w:val="00467FD7"/>
    <w:rsid w:val="0047158B"/>
    <w:rsid w:val="00472FEF"/>
    <w:rsid w:val="0047428E"/>
    <w:rsid w:val="00474D26"/>
    <w:rsid w:val="00475170"/>
    <w:rsid w:val="004806A5"/>
    <w:rsid w:val="00480D5A"/>
    <w:rsid w:val="004824D2"/>
    <w:rsid w:val="00482EAD"/>
    <w:rsid w:val="004840D1"/>
    <w:rsid w:val="00484337"/>
    <w:rsid w:val="00485366"/>
    <w:rsid w:val="0048615C"/>
    <w:rsid w:val="00486D0D"/>
    <w:rsid w:val="004913DB"/>
    <w:rsid w:val="00491B4E"/>
    <w:rsid w:val="00492919"/>
    <w:rsid w:val="00496841"/>
    <w:rsid w:val="00496C58"/>
    <w:rsid w:val="004A0620"/>
    <w:rsid w:val="004A0686"/>
    <w:rsid w:val="004A398F"/>
    <w:rsid w:val="004A5371"/>
    <w:rsid w:val="004A702D"/>
    <w:rsid w:val="004B01FA"/>
    <w:rsid w:val="004B28CC"/>
    <w:rsid w:val="004B59EA"/>
    <w:rsid w:val="004B6439"/>
    <w:rsid w:val="004C1647"/>
    <w:rsid w:val="004C4850"/>
    <w:rsid w:val="004C5C4A"/>
    <w:rsid w:val="004C6CF7"/>
    <w:rsid w:val="004C72C5"/>
    <w:rsid w:val="004D1AF4"/>
    <w:rsid w:val="004D4632"/>
    <w:rsid w:val="004E0498"/>
    <w:rsid w:val="004E6406"/>
    <w:rsid w:val="004F0431"/>
    <w:rsid w:val="004F0B7C"/>
    <w:rsid w:val="004F0EB2"/>
    <w:rsid w:val="004F1080"/>
    <w:rsid w:val="004F1DF9"/>
    <w:rsid w:val="004F1E9D"/>
    <w:rsid w:val="004F519C"/>
    <w:rsid w:val="004F7129"/>
    <w:rsid w:val="004F7151"/>
    <w:rsid w:val="0050237B"/>
    <w:rsid w:val="00503CE8"/>
    <w:rsid w:val="005047EF"/>
    <w:rsid w:val="00504EFE"/>
    <w:rsid w:val="00510ABD"/>
    <w:rsid w:val="00520E24"/>
    <w:rsid w:val="00520FA0"/>
    <w:rsid w:val="00521340"/>
    <w:rsid w:val="00524315"/>
    <w:rsid w:val="00525469"/>
    <w:rsid w:val="0052681A"/>
    <w:rsid w:val="00527F7C"/>
    <w:rsid w:val="00531577"/>
    <w:rsid w:val="005364F1"/>
    <w:rsid w:val="0053721F"/>
    <w:rsid w:val="00537C3C"/>
    <w:rsid w:val="00544110"/>
    <w:rsid w:val="00545056"/>
    <w:rsid w:val="00546DC4"/>
    <w:rsid w:val="00547E3D"/>
    <w:rsid w:val="005523F9"/>
    <w:rsid w:val="0055310D"/>
    <w:rsid w:val="00553428"/>
    <w:rsid w:val="0055554C"/>
    <w:rsid w:val="00557404"/>
    <w:rsid w:val="005610A5"/>
    <w:rsid w:val="0056189E"/>
    <w:rsid w:val="00561C60"/>
    <w:rsid w:val="00563424"/>
    <w:rsid w:val="00565E16"/>
    <w:rsid w:val="00570603"/>
    <w:rsid w:val="0057380F"/>
    <w:rsid w:val="0057491C"/>
    <w:rsid w:val="005749EB"/>
    <w:rsid w:val="00574D62"/>
    <w:rsid w:val="00574E77"/>
    <w:rsid w:val="00580726"/>
    <w:rsid w:val="00580E70"/>
    <w:rsid w:val="00582302"/>
    <w:rsid w:val="00584099"/>
    <w:rsid w:val="0058513D"/>
    <w:rsid w:val="005858FF"/>
    <w:rsid w:val="005900D1"/>
    <w:rsid w:val="0059023F"/>
    <w:rsid w:val="005907DE"/>
    <w:rsid w:val="00591A08"/>
    <w:rsid w:val="00592D0B"/>
    <w:rsid w:val="00593812"/>
    <w:rsid w:val="00594CE9"/>
    <w:rsid w:val="00596533"/>
    <w:rsid w:val="005A28C6"/>
    <w:rsid w:val="005A29C2"/>
    <w:rsid w:val="005A4400"/>
    <w:rsid w:val="005A4CCA"/>
    <w:rsid w:val="005A6433"/>
    <w:rsid w:val="005A7FB7"/>
    <w:rsid w:val="005B03B5"/>
    <w:rsid w:val="005B19C8"/>
    <w:rsid w:val="005B2C74"/>
    <w:rsid w:val="005B2E81"/>
    <w:rsid w:val="005B5A9C"/>
    <w:rsid w:val="005B7514"/>
    <w:rsid w:val="005C0AD7"/>
    <w:rsid w:val="005C0EA0"/>
    <w:rsid w:val="005C1AB7"/>
    <w:rsid w:val="005C2788"/>
    <w:rsid w:val="005C35D3"/>
    <w:rsid w:val="005C4A6B"/>
    <w:rsid w:val="005C4C32"/>
    <w:rsid w:val="005C5184"/>
    <w:rsid w:val="005C7537"/>
    <w:rsid w:val="005D0232"/>
    <w:rsid w:val="005D3BC5"/>
    <w:rsid w:val="005D42FA"/>
    <w:rsid w:val="005D6D35"/>
    <w:rsid w:val="005D7C86"/>
    <w:rsid w:val="005E1DCF"/>
    <w:rsid w:val="005E2416"/>
    <w:rsid w:val="005E2597"/>
    <w:rsid w:val="005E3780"/>
    <w:rsid w:val="005E41BC"/>
    <w:rsid w:val="005E58B6"/>
    <w:rsid w:val="005E5E53"/>
    <w:rsid w:val="005F2248"/>
    <w:rsid w:val="005F2389"/>
    <w:rsid w:val="005F397A"/>
    <w:rsid w:val="005F7470"/>
    <w:rsid w:val="00600949"/>
    <w:rsid w:val="00601A24"/>
    <w:rsid w:val="00602755"/>
    <w:rsid w:val="00603FF0"/>
    <w:rsid w:val="006059D3"/>
    <w:rsid w:val="00605C80"/>
    <w:rsid w:val="00612326"/>
    <w:rsid w:val="00612A3B"/>
    <w:rsid w:val="00613179"/>
    <w:rsid w:val="006176A5"/>
    <w:rsid w:val="0061794F"/>
    <w:rsid w:val="00620504"/>
    <w:rsid w:val="0062172D"/>
    <w:rsid w:val="00622880"/>
    <w:rsid w:val="00622A39"/>
    <w:rsid w:val="00623444"/>
    <w:rsid w:val="00623E88"/>
    <w:rsid w:val="006259F6"/>
    <w:rsid w:val="00625DC2"/>
    <w:rsid w:val="00626959"/>
    <w:rsid w:val="00627541"/>
    <w:rsid w:val="00630634"/>
    <w:rsid w:val="006308E6"/>
    <w:rsid w:val="00630C8B"/>
    <w:rsid w:val="00630D6D"/>
    <w:rsid w:val="006316EE"/>
    <w:rsid w:val="0063254A"/>
    <w:rsid w:val="00633B62"/>
    <w:rsid w:val="0063587C"/>
    <w:rsid w:val="00635DDB"/>
    <w:rsid w:val="00636520"/>
    <w:rsid w:val="00636EBC"/>
    <w:rsid w:val="00637CBE"/>
    <w:rsid w:val="00643A66"/>
    <w:rsid w:val="0064516A"/>
    <w:rsid w:val="0064614F"/>
    <w:rsid w:val="0064709B"/>
    <w:rsid w:val="006511C0"/>
    <w:rsid w:val="00651D3A"/>
    <w:rsid w:val="00655C2B"/>
    <w:rsid w:val="00655EAC"/>
    <w:rsid w:val="006564A6"/>
    <w:rsid w:val="00660E42"/>
    <w:rsid w:val="0066115F"/>
    <w:rsid w:val="0066313E"/>
    <w:rsid w:val="006631C0"/>
    <w:rsid w:val="00663221"/>
    <w:rsid w:val="0066466D"/>
    <w:rsid w:val="006653C7"/>
    <w:rsid w:val="006653DC"/>
    <w:rsid w:val="0066680E"/>
    <w:rsid w:val="00666862"/>
    <w:rsid w:val="0067022D"/>
    <w:rsid w:val="006703ED"/>
    <w:rsid w:val="00672E8B"/>
    <w:rsid w:val="00676DE5"/>
    <w:rsid w:val="00677C8B"/>
    <w:rsid w:val="00682311"/>
    <w:rsid w:val="00682921"/>
    <w:rsid w:val="00682927"/>
    <w:rsid w:val="00682EEC"/>
    <w:rsid w:val="006832D8"/>
    <w:rsid w:val="006848F1"/>
    <w:rsid w:val="00686A1C"/>
    <w:rsid w:val="006906C9"/>
    <w:rsid w:val="00690C0A"/>
    <w:rsid w:val="00691E72"/>
    <w:rsid w:val="0069350E"/>
    <w:rsid w:val="0069394F"/>
    <w:rsid w:val="00693ACB"/>
    <w:rsid w:val="00695207"/>
    <w:rsid w:val="00696669"/>
    <w:rsid w:val="00696762"/>
    <w:rsid w:val="0069686B"/>
    <w:rsid w:val="00697561"/>
    <w:rsid w:val="00697D34"/>
    <w:rsid w:val="006A15BA"/>
    <w:rsid w:val="006A19C3"/>
    <w:rsid w:val="006A1A3D"/>
    <w:rsid w:val="006A2413"/>
    <w:rsid w:val="006A56A8"/>
    <w:rsid w:val="006A7470"/>
    <w:rsid w:val="006B10F0"/>
    <w:rsid w:val="006B1EB7"/>
    <w:rsid w:val="006B2149"/>
    <w:rsid w:val="006B2F6B"/>
    <w:rsid w:val="006B5BDB"/>
    <w:rsid w:val="006B6133"/>
    <w:rsid w:val="006C0616"/>
    <w:rsid w:val="006C1681"/>
    <w:rsid w:val="006C1CA1"/>
    <w:rsid w:val="006C39F6"/>
    <w:rsid w:val="006C4C28"/>
    <w:rsid w:val="006C6483"/>
    <w:rsid w:val="006D105F"/>
    <w:rsid w:val="006D245B"/>
    <w:rsid w:val="006D2B26"/>
    <w:rsid w:val="006D2D29"/>
    <w:rsid w:val="006D3895"/>
    <w:rsid w:val="006D3DA6"/>
    <w:rsid w:val="006D6D31"/>
    <w:rsid w:val="006E5252"/>
    <w:rsid w:val="006E5481"/>
    <w:rsid w:val="006E7501"/>
    <w:rsid w:val="006E7C3B"/>
    <w:rsid w:val="006E7E8C"/>
    <w:rsid w:val="006F1AC5"/>
    <w:rsid w:val="006F1BBA"/>
    <w:rsid w:val="006F1D99"/>
    <w:rsid w:val="006F202A"/>
    <w:rsid w:val="006F341E"/>
    <w:rsid w:val="006F3B47"/>
    <w:rsid w:val="006F55DC"/>
    <w:rsid w:val="006F7109"/>
    <w:rsid w:val="00700CB3"/>
    <w:rsid w:val="0070309B"/>
    <w:rsid w:val="007055B7"/>
    <w:rsid w:val="00710136"/>
    <w:rsid w:val="00710F26"/>
    <w:rsid w:val="00711800"/>
    <w:rsid w:val="00713DB2"/>
    <w:rsid w:val="0071614F"/>
    <w:rsid w:val="007169E9"/>
    <w:rsid w:val="00720F26"/>
    <w:rsid w:val="00722BDC"/>
    <w:rsid w:val="00722C62"/>
    <w:rsid w:val="0072548A"/>
    <w:rsid w:val="007271BA"/>
    <w:rsid w:val="00730340"/>
    <w:rsid w:val="0073135A"/>
    <w:rsid w:val="00731C28"/>
    <w:rsid w:val="00732D75"/>
    <w:rsid w:val="007336BF"/>
    <w:rsid w:val="00733EDB"/>
    <w:rsid w:val="00734062"/>
    <w:rsid w:val="00736BE1"/>
    <w:rsid w:val="00740FE7"/>
    <w:rsid w:val="00744553"/>
    <w:rsid w:val="0074512E"/>
    <w:rsid w:val="00751A3E"/>
    <w:rsid w:val="00751F04"/>
    <w:rsid w:val="00752026"/>
    <w:rsid w:val="00752E69"/>
    <w:rsid w:val="00753B95"/>
    <w:rsid w:val="00753E9F"/>
    <w:rsid w:val="007540D3"/>
    <w:rsid w:val="00755341"/>
    <w:rsid w:val="007557D9"/>
    <w:rsid w:val="00755BEA"/>
    <w:rsid w:val="00755E8E"/>
    <w:rsid w:val="00755FFC"/>
    <w:rsid w:val="00761597"/>
    <w:rsid w:val="00761E4A"/>
    <w:rsid w:val="007701DB"/>
    <w:rsid w:val="00770864"/>
    <w:rsid w:val="00772240"/>
    <w:rsid w:val="00773337"/>
    <w:rsid w:val="00776C33"/>
    <w:rsid w:val="0077790F"/>
    <w:rsid w:val="0078169E"/>
    <w:rsid w:val="007837BD"/>
    <w:rsid w:val="00785E90"/>
    <w:rsid w:val="00785F7F"/>
    <w:rsid w:val="00786BFD"/>
    <w:rsid w:val="00791341"/>
    <w:rsid w:val="00794938"/>
    <w:rsid w:val="007953A4"/>
    <w:rsid w:val="007960BF"/>
    <w:rsid w:val="007978A9"/>
    <w:rsid w:val="007A023D"/>
    <w:rsid w:val="007A04E9"/>
    <w:rsid w:val="007A112B"/>
    <w:rsid w:val="007A15F5"/>
    <w:rsid w:val="007A20AA"/>
    <w:rsid w:val="007A3443"/>
    <w:rsid w:val="007A4B47"/>
    <w:rsid w:val="007A4F69"/>
    <w:rsid w:val="007A53E5"/>
    <w:rsid w:val="007A578C"/>
    <w:rsid w:val="007A5A88"/>
    <w:rsid w:val="007A5F47"/>
    <w:rsid w:val="007A5FDD"/>
    <w:rsid w:val="007B065D"/>
    <w:rsid w:val="007B08CA"/>
    <w:rsid w:val="007B0C31"/>
    <w:rsid w:val="007B0F71"/>
    <w:rsid w:val="007B57E2"/>
    <w:rsid w:val="007B67C0"/>
    <w:rsid w:val="007B7A67"/>
    <w:rsid w:val="007C7FE1"/>
    <w:rsid w:val="007D0C00"/>
    <w:rsid w:val="007D16FE"/>
    <w:rsid w:val="007D3208"/>
    <w:rsid w:val="007D6F81"/>
    <w:rsid w:val="007E35F4"/>
    <w:rsid w:val="007E4450"/>
    <w:rsid w:val="007E52C9"/>
    <w:rsid w:val="007E6EF3"/>
    <w:rsid w:val="007F0A93"/>
    <w:rsid w:val="007F23E8"/>
    <w:rsid w:val="007F4539"/>
    <w:rsid w:val="007F5312"/>
    <w:rsid w:val="007F62F1"/>
    <w:rsid w:val="007F6821"/>
    <w:rsid w:val="007F6F81"/>
    <w:rsid w:val="00800F74"/>
    <w:rsid w:val="00802892"/>
    <w:rsid w:val="00802B67"/>
    <w:rsid w:val="00806502"/>
    <w:rsid w:val="008104F7"/>
    <w:rsid w:val="00812FDD"/>
    <w:rsid w:val="008169A7"/>
    <w:rsid w:val="00824ACB"/>
    <w:rsid w:val="008263A8"/>
    <w:rsid w:val="0082694E"/>
    <w:rsid w:val="00827FC2"/>
    <w:rsid w:val="00830B8E"/>
    <w:rsid w:val="008311E6"/>
    <w:rsid w:val="008315D2"/>
    <w:rsid w:val="00831F41"/>
    <w:rsid w:val="008321FD"/>
    <w:rsid w:val="008343DE"/>
    <w:rsid w:val="0083451A"/>
    <w:rsid w:val="008346D0"/>
    <w:rsid w:val="00834B67"/>
    <w:rsid w:val="00834FD5"/>
    <w:rsid w:val="008376C1"/>
    <w:rsid w:val="00837928"/>
    <w:rsid w:val="00837AEF"/>
    <w:rsid w:val="008406FC"/>
    <w:rsid w:val="0084074D"/>
    <w:rsid w:val="00840B0C"/>
    <w:rsid w:val="00841116"/>
    <w:rsid w:val="008423DE"/>
    <w:rsid w:val="00845DF4"/>
    <w:rsid w:val="0084628E"/>
    <w:rsid w:val="00850248"/>
    <w:rsid w:val="0085235E"/>
    <w:rsid w:val="00854698"/>
    <w:rsid w:val="008553B5"/>
    <w:rsid w:val="00857259"/>
    <w:rsid w:val="00860012"/>
    <w:rsid w:val="00860DDD"/>
    <w:rsid w:val="0086186C"/>
    <w:rsid w:val="00861987"/>
    <w:rsid w:val="00861DD9"/>
    <w:rsid w:val="0086209A"/>
    <w:rsid w:val="008629DB"/>
    <w:rsid w:val="00864646"/>
    <w:rsid w:val="008648F5"/>
    <w:rsid w:val="008649CC"/>
    <w:rsid w:val="008652AC"/>
    <w:rsid w:val="00865379"/>
    <w:rsid w:val="008657DE"/>
    <w:rsid w:val="008657FD"/>
    <w:rsid w:val="00865BE9"/>
    <w:rsid w:val="00865CBB"/>
    <w:rsid w:val="00866CF4"/>
    <w:rsid w:val="0087035D"/>
    <w:rsid w:val="00870FA4"/>
    <w:rsid w:val="00872177"/>
    <w:rsid w:val="00875483"/>
    <w:rsid w:val="008775F8"/>
    <w:rsid w:val="0088029F"/>
    <w:rsid w:val="008813A9"/>
    <w:rsid w:val="008815A2"/>
    <w:rsid w:val="0088786D"/>
    <w:rsid w:val="00887C6D"/>
    <w:rsid w:val="00887EFE"/>
    <w:rsid w:val="00891F9C"/>
    <w:rsid w:val="00892467"/>
    <w:rsid w:val="00892B92"/>
    <w:rsid w:val="00895E2F"/>
    <w:rsid w:val="00896E42"/>
    <w:rsid w:val="008A038F"/>
    <w:rsid w:val="008A0DE0"/>
    <w:rsid w:val="008A18D1"/>
    <w:rsid w:val="008A3545"/>
    <w:rsid w:val="008A4D02"/>
    <w:rsid w:val="008A61C4"/>
    <w:rsid w:val="008A6D2E"/>
    <w:rsid w:val="008A75B8"/>
    <w:rsid w:val="008B18B7"/>
    <w:rsid w:val="008B1ECC"/>
    <w:rsid w:val="008B29B0"/>
    <w:rsid w:val="008B3A33"/>
    <w:rsid w:val="008B51B8"/>
    <w:rsid w:val="008B58D2"/>
    <w:rsid w:val="008B69B7"/>
    <w:rsid w:val="008C29E2"/>
    <w:rsid w:val="008C4EA9"/>
    <w:rsid w:val="008D0A28"/>
    <w:rsid w:val="008D17E2"/>
    <w:rsid w:val="008D265F"/>
    <w:rsid w:val="008D2EE6"/>
    <w:rsid w:val="008D347F"/>
    <w:rsid w:val="008E1054"/>
    <w:rsid w:val="008E2386"/>
    <w:rsid w:val="008E46A3"/>
    <w:rsid w:val="008E5FE9"/>
    <w:rsid w:val="008E6808"/>
    <w:rsid w:val="008E69FA"/>
    <w:rsid w:val="008F152E"/>
    <w:rsid w:val="008F565E"/>
    <w:rsid w:val="008F5CD0"/>
    <w:rsid w:val="008F63CF"/>
    <w:rsid w:val="008F6ABB"/>
    <w:rsid w:val="008F6E91"/>
    <w:rsid w:val="008F7E5D"/>
    <w:rsid w:val="00900443"/>
    <w:rsid w:val="009015E2"/>
    <w:rsid w:val="009023FC"/>
    <w:rsid w:val="009054F7"/>
    <w:rsid w:val="00905C1B"/>
    <w:rsid w:val="0090778B"/>
    <w:rsid w:val="00910DF0"/>
    <w:rsid w:val="0091339A"/>
    <w:rsid w:val="00914570"/>
    <w:rsid w:val="00917535"/>
    <w:rsid w:val="009206D7"/>
    <w:rsid w:val="00920B78"/>
    <w:rsid w:val="00921198"/>
    <w:rsid w:val="009213A7"/>
    <w:rsid w:val="00923CEF"/>
    <w:rsid w:val="00923F1E"/>
    <w:rsid w:val="00925075"/>
    <w:rsid w:val="00925EC5"/>
    <w:rsid w:val="0093440D"/>
    <w:rsid w:val="00937E2F"/>
    <w:rsid w:val="009423C2"/>
    <w:rsid w:val="00944118"/>
    <w:rsid w:val="00944F4F"/>
    <w:rsid w:val="0094717C"/>
    <w:rsid w:val="00951E85"/>
    <w:rsid w:val="00952D83"/>
    <w:rsid w:val="009543DE"/>
    <w:rsid w:val="009551B4"/>
    <w:rsid w:val="00955FB6"/>
    <w:rsid w:val="00957BC8"/>
    <w:rsid w:val="00957E3E"/>
    <w:rsid w:val="00960061"/>
    <w:rsid w:val="009605B3"/>
    <w:rsid w:val="00963E95"/>
    <w:rsid w:val="00965265"/>
    <w:rsid w:val="0096599E"/>
    <w:rsid w:val="009669B9"/>
    <w:rsid w:val="00967472"/>
    <w:rsid w:val="00973148"/>
    <w:rsid w:val="00973910"/>
    <w:rsid w:val="00975768"/>
    <w:rsid w:val="00977DD5"/>
    <w:rsid w:val="00980498"/>
    <w:rsid w:val="00982428"/>
    <w:rsid w:val="009824A8"/>
    <w:rsid w:val="009847BA"/>
    <w:rsid w:val="00984B68"/>
    <w:rsid w:val="009871BE"/>
    <w:rsid w:val="00987CF4"/>
    <w:rsid w:val="00990410"/>
    <w:rsid w:val="009905D7"/>
    <w:rsid w:val="00991C5C"/>
    <w:rsid w:val="0099448B"/>
    <w:rsid w:val="00995206"/>
    <w:rsid w:val="00996B12"/>
    <w:rsid w:val="009A008F"/>
    <w:rsid w:val="009A036F"/>
    <w:rsid w:val="009A3D46"/>
    <w:rsid w:val="009A67B2"/>
    <w:rsid w:val="009B04F9"/>
    <w:rsid w:val="009B19CA"/>
    <w:rsid w:val="009B218F"/>
    <w:rsid w:val="009B271D"/>
    <w:rsid w:val="009B4F26"/>
    <w:rsid w:val="009B50D9"/>
    <w:rsid w:val="009B6C68"/>
    <w:rsid w:val="009C034E"/>
    <w:rsid w:val="009C0A65"/>
    <w:rsid w:val="009C704C"/>
    <w:rsid w:val="009D01FA"/>
    <w:rsid w:val="009D1234"/>
    <w:rsid w:val="009D123A"/>
    <w:rsid w:val="009D7023"/>
    <w:rsid w:val="009D7D53"/>
    <w:rsid w:val="009E1B84"/>
    <w:rsid w:val="009E4056"/>
    <w:rsid w:val="009E5878"/>
    <w:rsid w:val="009E5B18"/>
    <w:rsid w:val="009E65F2"/>
    <w:rsid w:val="009E6734"/>
    <w:rsid w:val="009E7D5E"/>
    <w:rsid w:val="009F0ADC"/>
    <w:rsid w:val="009F2F5F"/>
    <w:rsid w:val="009F342E"/>
    <w:rsid w:val="009F3D1F"/>
    <w:rsid w:val="009F3ED5"/>
    <w:rsid w:val="009F449C"/>
    <w:rsid w:val="009F4DC0"/>
    <w:rsid w:val="009F59C8"/>
    <w:rsid w:val="009F6819"/>
    <w:rsid w:val="009F7D43"/>
    <w:rsid w:val="009F7EDA"/>
    <w:rsid w:val="00A0006E"/>
    <w:rsid w:val="00A01E9F"/>
    <w:rsid w:val="00A0235E"/>
    <w:rsid w:val="00A11A6A"/>
    <w:rsid w:val="00A12077"/>
    <w:rsid w:val="00A15FEB"/>
    <w:rsid w:val="00A17230"/>
    <w:rsid w:val="00A200F0"/>
    <w:rsid w:val="00A209D5"/>
    <w:rsid w:val="00A215EA"/>
    <w:rsid w:val="00A22927"/>
    <w:rsid w:val="00A23601"/>
    <w:rsid w:val="00A240FE"/>
    <w:rsid w:val="00A25786"/>
    <w:rsid w:val="00A30DD3"/>
    <w:rsid w:val="00A352F5"/>
    <w:rsid w:val="00A357FC"/>
    <w:rsid w:val="00A401D9"/>
    <w:rsid w:val="00A40EAC"/>
    <w:rsid w:val="00A4417F"/>
    <w:rsid w:val="00A45938"/>
    <w:rsid w:val="00A47249"/>
    <w:rsid w:val="00A47786"/>
    <w:rsid w:val="00A47E07"/>
    <w:rsid w:val="00A500F7"/>
    <w:rsid w:val="00A52376"/>
    <w:rsid w:val="00A552ED"/>
    <w:rsid w:val="00A556E2"/>
    <w:rsid w:val="00A56825"/>
    <w:rsid w:val="00A60B89"/>
    <w:rsid w:val="00A6184A"/>
    <w:rsid w:val="00A618B7"/>
    <w:rsid w:val="00A622C1"/>
    <w:rsid w:val="00A62CF5"/>
    <w:rsid w:val="00A63051"/>
    <w:rsid w:val="00A648CE"/>
    <w:rsid w:val="00A65690"/>
    <w:rsid w:val="00A716AE"/>
    <w:rsid w:val="00A71BE7"/>
    <w:rsid w:val="00A72A2F"/>
    <w:rsid w:val="00A74CD1"/>
    <w:rsid w:val="00A7797A"/>
    <w:rsid w:val="00A8120C"/>
    <w:rsid w:val="00A82611"/>
    <w:rsid w:val="00A841A8"/>
    <w:rsid w:val="00A86D0C"/>
    <w:rsid w:val="00A92C31"/>
    <w:rsid w:val="00A94981"/>
    <w:rsid w:val="00A95532"/>
    <w:rsid w:val="00A958BE"/>
    <w:rsid w:val="00A96A7D"/>
    <w:rsid w:val="00AA1A08"/>
    <w:rsid w:val="00AA6BC7"/>
    <w:rsid w:val="00AA788F"/>
    <w:rsid w:val="00AA79BF"/>
    <w:rsid w:val="00AB0D9C"/>
    <w:rsid w:val="00AB29DF"/>
    <w:rsid w:val="00AB3DAC"/>
    <w:rsid w:val="00AB46D3"/>
    <w:rsid w:val="00AB52D4"/>
    <w:rsid w:val="00AB5C0E"/>
    <w:rsid w:val="00AB6B07"/>
    <w:rsid w:val="00AB6C46"/>
    <w:rsid w:val="00AB7671"/>
    <w:rsid w:val="00AC11BD"/>
    <w:rsid w:val="00AC1E8D"/>
    <w:rsid w:val="00AC4EA4"/>
    <w:rsid w:val="00AC67FD"/>
    <w:rsid w:val="00AC691E"/>
    <w:rsid w:val="00AD0F2A"/>
    <w:rsid w:val="00AD0F32"/>
    <w:rsid w:val="00AD2701"/>
    <w:rsid w:val="00AD31F0"/>
    <w:rsid w:val="00AD3F6C"/>
    <w:rsid w:val="00AD43F2"/>
    <w:rsid w:val="00AD57EE"/>
    <w:rsid w:val="00AE066E"/>
    <w:rsid w:val="00AE1AD1"/>
    <w:rsid w:val="00AE21EF"/>
    <w:rsid w:val="00AE48A2"/>
    <w:rsid w:val="00AE78DA"/>
    <w:rsid w:val="00AF32C3"/>
    <w:rsid w:val="00AF3891"/>
    <w:rsid w:val="00AF3BA7"/>
    <w:rsid w:val="00AF4BB3"/>
    <w:rsid w:val="00AF5108"/>
    <w:rsid w:val="00AF5733"/>
    <w:rsid w:val="00AF60EE"/>
    <w:rsid w:val="00AF648D"/>
    <w:rsid w:val="00AF7135"/>
    <w:rsid w:val="00AF7761"/>
    <w:rsid w:val="00B002E1"/>
    <w:rsid w:val="00B017FE"/>
    <w:rsid w:val="00B02190"/>
    <w:rsid w:val="00B022E6"/>
    <w:rsid w:val="00B03E6B"/>
    <w:rsid w:val="00B04219"/>
    <w:rsid w:val="00B04C32"/>
    <w:rsid w:val="00B05DE1"/>
    <w:rsid w:val="00B07DF6"/>
    <w:rsid w:val="00B10174"/>
    <w:rsid w:val="00B11593"/>
    <w:rsid w:val="00B1211C"/>
    <w:rsid w:val="00B126CD"/>
    <w:rsid w:val="00B13C4F"/>
    <w:rsid w:val="00B15CDA"/>
    <w:rsid w:val="00B1740E"/>
    <w:rsid w:val="00B17429"/>
    <w:rsid w:val="00B22B01"/>
    <w:rsid w:val="00B3111D"/>
    <w:rsid w:val="00B32764"/>
    <w:rsid w:val="00B33546"/>
    <w:rsid w:val="00B34606"/>
    <w:rsid w:val="00B36C6A"/>
    <w:rsid w:val="00B41FC4"/>
    <w:rsid w:val="00B43E6B"/>
    <w:rsid w:val="00B479E5"/>
    <w:rsid w:val="00B5108A"/>
    <w:rsid w:val="00B5115A"/>
    <w:rsid w:val="00B540DB"/>
    <w:rsid w:val="00B60915"/>
    <w:rsid w:val="00B61F19"/>
    <w:rsid w:val="00B62486"/>
    <w:rsid w:val="00B66B60"/>
    <w:rsid w:val="00B67291"/>
    <w:rsid w:val="00B676B4"/>
    <w:rsid w:val="00B714F5"/>
    <w:rsid w:val="00B72C70"/>
    <w:rsid w:val="00B73F9E"/>
    <w:rsid w:val="00B76090"/>
    <w:rsid w:val="00B809C8"/>
    <w:rsid w:val="00B815DE"/>
    <w:rsid w:val="00B82EFA"/>
    <w:rsid w:val="00B82F89"/>
    <w:rsid w:val="00B84145"/>
    <w:rsid w:val="00B8536B"/>
    <w:rsid w:val="00B8557A"/>
    <w:rsid w:val="00B85AD6"/>
    <w:rsid w:val="00B87951"/>
    <w:rsid w:val="00B87E60"/>
    <w:rsid w:val="00B90FB0"/>
    <w:rsid w:val="00B918A4"/>
    <w:rsid w:val="00B91A7C"/>
    <w:rsid w:val="00B920EA"/>
    <w:rsid w:val="00B93DBA"/>
    <w:rsid w:val="00B9446E"/>
    <w:rsid w:val="00B94CC3"/>
    <w:rsid w:val="00B9580A"/>
    <w:rsid w:val="00BA47C8"/>
    <w:rsid w:val="00BA5503"/>
    <w:rsid w:val="00BA6F21"/>
    <w:rsid w:val="00BB0385"/>
    <w:rsid w:val="00BB050E"/>
    <w:rsid w:val="00BB1F8E"/>
    <w:rsid w:val="00BB2240"/>
    <w:rsid w:val="00BB33F1"/>
    <w:rsid w:val="00BB43C2"/>
    <w:rsid w:val="00BB45B4"/>
    <w:rsid w:val="00BB47DD"/>
    <w:rsid w:val="00BB76B2"/>
    <w:rsid w:val="00BC0704"/>
    <w:rsid w:val="00BC082B"/>
    <w:rsid w:val="00BC085F"/>
    <w:rsid w:val="00BC1CBD"/>
    <w:rsid w:val="00BC1F7D"/>
    <w:rsid w:val="00BC3E5C"/>
    <w:rsid w:val="00BC64C7"/>
    <w:rsid w:val="00BD171A"/>
    <w:rsid w:val="00BD35B6"/>
    <w:rsid w:val="00BD4152"/>
    <w:rsid w:val="00BD4433"/>
    <w:rsid w:val="00BD50D8"/>
    <w:rsid w:val="00BD6CD0"/>
    <w:rsid w:val="00BE16CB"/>
    <w:rsid w:val="00BE2A33"/>
    <w:rsid w:val="00BE3909"/>
    <w:rsid w:val="00BE50F3"/>
    <w:rsid w:val="00BE50FB"/>
    <w:rsid w:val="00BE5354"/>
    <w:rsid w:val="00BE539E"/>
    <w:rsid w:val="00BE79CB"/>
    <w:rsid w:val="00BF1BDB"/>
    <w:rsid w:val="00BF2C2F"/>
    <w:rsid w:val="00BF40FC"/>
    <w:rsid w:val="00BF48BF"/>
    <w:rsid w:val="00BF5F8A"/>
    <w:rsid w:val="00BF6907"/>
    <w:rsid w:val="00C03F78"/>
    <w:rsid w:val="00C04A19"/>
    <w:rsid w:val="00C04AB1"/>
    <w:rsid w:val="00C05A90"/>
    <w:rsid w:val="00C07EA1"/>
    <w:rsid w:val="00C119C9"/>
    <w:rsid w:val="00C16238"/>
    <w:rsid w:val="00C16872"/>
    <w:rsid w:val="00C17E6B"/>
    <w:rsid w:val="00C201B4"/>
    <w:rsid w:val="00C21DE0"/>
    <w:rsid w:val="00C230E1"/>
    <w:rsid w:val="00C26880"/>
    <w:rsid w:val="00C3017B"/>
    <w:rsid w:val="00C32F8D"/>
    <w:rsid w:val="00C3468F"/>
    <w:rsid w:val="00C34CCD"/>
    <w:rsid w:val="00C34ED9"/>
    <w:rsid w:val="00C35932"/>
    <w:rsid w:val="00C407E5"/>
    <w:rsid w:val="00C411E8"/>
    <w:rsid w:val="00C440D9"/>
    <w:rsid w:val="00C45A3D"/>
    <w:rsid w:val="00C527EC"/>
    <w:rsid w:val="00C5338E"/>
    <w:rsid w:val="00C53C74"/>
    <w:rsid w:val="00C56C3A"/>
    <w:rsid w:val="00C615D9"/>
    <w:rsid w:val="00C63A84"/>
    <w:rsid w:val="00C63CB6"/>
    <w:rsid w:val="00C65B15"/>
    <w:rsid w:val="00C66174"/>
    <w:rsid w:val="00C664AF"/>
    <w:rsid w:val="00C6694B"/>
    <w:rsid w:val="00C676D0"/>
    <w:rsid w:val="00C67955"/>
    <w:rsid w:val="00C70AD3"/>
    <w:rsid w:val="00C71A01"/>
    <w:rsid w:val="00C72133"/>
    <w:rsid w:val="00C741F5"/>
    <w:rsid w:val="00C74983"/>
    <w:rsid w:val="00C7708A"/>
    <w:rsid w:val="00C841C6"/>
    <w:rsid w:val="00C87627"/>
    <w:rsid w:val="00C87A7A"/>
    <w:rsid w:val="00C87C97"/>
    <w:rsid w:val="00C9089D"/>
    <w:rsid w:val="00C9157E"/>
    <w:rsid w:val="00C93BC8"/>
    <w:rsid w:val="00C948C0"/>
    <w:rsid w:val="00C94D73"/>
    <w:rsid w:val="00C95E38"/>
    <w:rsid w:val="00CA32F0"/>
    <w:rsid w:val="00CA3616"/>
    <w:rsid w:val="00CB0EC2"/>
    <w:rsid w:val="00CB18AB"/>
    <w:rsid w:val="00CB33C4"/>
    <w:rsid w:val="00CB3AB0"/>
    <w:rsid w:val="00CB44CA"/>
    <w:rsid w:val="00CB4C12"/>
    <w:rsid w:val="00CB4E0A"/>
    <w:rsid w:val="00CC232F"/>
    <w:rsid w:val="00CC2857"/>
    <w:rsid w:val="00CC2D9A"/>
    <w:rsid w:val="00CC38DD"/>
    <w:rsid w:val="00CC44B3"/>
    <w:rsid w:val="00CC543E"/>
    <w:rsid w:val="00CC670B"/>
    <w:rsid w:val="00CC68F9"/>
    <w:rsid w:val="00CD08AD"/>
    <w:rsid w:val="00CD08F0"/>
    <w:rsid w:val="00CD129F"/>
    <w:rsid w:val="00CD28B2"/>
    <w:rsid w:val="00CD2FA6"/>
    <w:rsid w:val="00CD4E8B"/>
    <w:rsid w:val="00CD61F1"/>
    <w:rsid w:val="00CD77A5"/>
    <w:rsid w:val="00CD77DE"/>
    <w:rsid w:val="00CD7E28"/>
    <w:rsid w:val="00CE05FF"/>
    <w:rsid w:val="00CE2753"/>
    <w:rsid w:val="00CF2909"/>
    <w:rsid w:val="00CF2CB1"/>
    <w:rsid w:val="00CF3917"/>
    <w:rsid w:val="00CF487D"/>
    <w:rsid w:val="00CF5653"/>
    <w:rsid w:val="00CF581D"/>
    <w:rsid w:val="00D01176"/>
    <w:rsid w:val="00D01198"/>
    <w:rsid w:val="00D0134D"/>
    <w:rsid w:val="00D044E6"/>
    <w:rsid w:val="00D0525A"/>
    <w:rsid w:val="00D060B3"/>
    <w:rsid w:val="00D07608"/>
    <w:rsid w:val="00D12EAD"/>
    <w:rsid w:val="00D132B9"/>
    <w:rsid w:val="00D14AB3"/>
    <w:rsid w:val="00D15716"/>
    <w:rsid w:val="00D16482"/>
    <w:rsid w:val="00D167B6"/>
    <w:rsid w:val="00D206C2"/>
    <w:rsid w:val="00D21774"/>
    <w:rsid w:val="00D22D26"/>
    <w:rsid w:val="00D22F4C"/>
    <w:rsid w:val="00D2316A"/>
    <w:rsid w:val="00D244A9"/>
    <w:rsid w:val="00D2617D"/>
    <w:rsid w:val="00D273FB"/>
    <w:rsid w:val="00D2759D"/>
    <w:rsid w:val="00D315D7"/>
    <w:rsid w:val="00D333AF"/>
    <w:rsid w:val="00D34083"/>
    <w:rsid w:val="00D35343"/>
    <w:rsid w:val="00D3579C"/>
    <w:rsid w:val="00D35915"/>
    <w:rsid w:val="00D404DF"/>
    <w:rsid w:val="00D40DD0"/>
    <w:rsid w:val="00D41F16"/>
    <w:rsid w:val="00D420B6"/>
    <w:rsid w:val="00D43C6C"/>
    <w:rsid w:val="00D44ABE"/>
    <w:rsid w:val="00D46210"/>
    <w:rsid w:val="00D46826"/>
    <w:rsid w:val="00D50FFB"/>
    <w:rsid w:val="00D52055"/>
    <w:rsid w:val="00D523B3"/>
    <w:rsid w:val="00D5273C"/>
    <w:rsid w:val="00D5278B"/>
    <w:rsid w:val="00D52979"/>
    <w:rsid w:val="00D549A4"/>
    <w:rsid w:val="00D55679"/>
    <w:rsid w:val="00D569BE"/>
    <w:rsid w:val="00D60EA5"/>
    <w:rsid w:val="00D63B20"/>
    <w:rsid w:val="00D641AE"/>
    <w:rsid w:val="00D67E74"/>
    <w:rsid w:val="00D71E68"/>
    <w:rsid w:val="00D727C6"/>
    <w:rsid w:val="00D73C76"/>
    <w:rsid w:val="00D73ECF"/>
    <w:rsid w:val="00D73F95"/>
    <w:rsid w:val="00D742A0"/>
    <w:rsid w:val="00D749D5"/>
    <w:rsid w:val="00D751EB"/>
    <w:rsid w:val="00D76DCD"/>
    <w:rsid w:val="00D76F90"/>
    <w:rsid w:val="00D77E59"/>
    <w:rsid w:val="00D77EEB"/>
    <w:rsid w:val="00D8142C"/>
    <w:rsid w:val="00D8152F"/>
    <w:rsid w:val="00D83D6A"/>
    <w:rsid w:val="00D8433A"/>
    <w:rsid w:val="00D84986"/>
    <w:rsid w:val="00D84B9E"/>
    <w:rsid w:val="00D85E6A"/>
    <w:rsid w:val="00D85EF0"/>
    <w:rsid w:val="00D92333"/>
    <w:rsid w:val="00D9448D"/>
    <w:rsid w:val="00D96AF6"/>
    <w:rsid w:val="00DA047E"/>
    <w:rsid w:val="00DA0918"/>
    <w:rsid w:val="00DA16FC"/>
    <w:rsid w:val="00DA2024"/>
    <w:rsid w:val="00DA39BF"/>
    <w:rsid w:val="00DA4E4F"/>
    <w:rsid w:val="00DA5CE2"/>
    <w:rsid w:val="00DA6661"/>
    <w:rsid w:val="00DB0524"/>
    <w:rsid w:val="00DB0DB4"/>
    <w:rsid w:val="00DB317D"/>
    <w:rsid w:val="00DB4259"/>
    <w:rsid w:val="00DC2C49"/>
    <w:rsid w:val="00DC3B20"/>
    <w:rsid w:val="00DC53D9"/>
    <w:rsid w:val="00DC5672"/>
    <w:rsid w:val="00DC7E76"/>
    <w:rsid w:val="00DD18BE"/>
    <w:rsid w:val="00DD26A7"/>
    <w:rsid w:val="00DD3F8B"/>
    <w:rsid w:val="00DD4345"/>
    <w:rsid w:val="00DD4831"/>
    <w:rsid w:val="00DD50E2"/>
    <w:rsid w:val="00DD5F28"/>
    <w:rsid w:val="00DD61CE"/>
    <w:rsid w:val="00DD7267"/>
    <w:rsid w:val="00DE0EAB"/>
    <w:rsid w:val="00DE1034"/>
    <w:rsid w:val="00DE160B"/>
    <w:rsid w:val="00DE2BFC"/>
    <w:rsid w:val="00DE3269"/>
    <w:rsid w:val="00DE4D97"/>
    <w:rsid w:val="00DE5BD7"/>
    <w:rsid w:val="00DE6E15"/>
    <w:rsid w:val="00DF0213"/>
    <w:rsid w:val="00DF06D6"/>
    <w:rsid w:val="00DF0C39"/>
    <w:rsid w:val="00DF2DFB"/>
    <w:rsid w:val="00DF559B"/>
    <w:rsid w:val="00DF61B9"/>
    <w:rsid w:val="00DF639F"/>
    <w:rsid w:val="00DF6ED9"/>
    <w:rsid w:val="00E00320"/>
    <w:rsid w:val="00E00CCD"/>
    <w:rsid w:val="00E019FF"/>
    <w:rsid w:val="00E02E7E"/>
    <w:rsid w:val="00E06096"/>
    <w:rsid w:val="00E06DFC"/>
    <w:rsid w:val="00E07A36"/>
    <w:rsid w:val="00E10792"/>
    <w:rsid w:val="00E11282"/>
    <w:rsid w:val="00E12C1E"/>
    <w:rsid w:val="00E13471"/>
    <w:rsid w:val="00E21559"/>
    <w:rsid w:val="00E217E9"/>
    <w:rsid w:val="00E21D17"/>
    <w:rsid w:val="00E21DDE"/>
    <w:rsid w:val="00E269BA"/>
    <w:rsid w:val="00E2737B"/>
    <w:rsid w:val="00E31C64"/>
    <w:rsid w:val="00E31CD9"/>
    <w:rsid w:val="00E34374"/>
    <w:rsid w:val="00E36FF6"/>
    <w:rsid w:val="00E37C02"/>
    <w:rsid w:val="00E40A20"/>
    <w:rsid w:val="00E413AA"/>
    <w:rsid w:val="00E413F3"/>
    <w:rsid w:val="00E42126"/>
    <w:rsid w:val="00E45506"/>
    <w:rsid w:val="00E46028"/>
    <w:rsid w:val="00E5308D"/>
    <w:rsid w:val="00E544FF"/>
    <w:rsid w:val="00E60933"/>
    <w:rsid w:val="00E63190"/>
    <w:rsid w:val="00E64415"/>
    <w:rsid w:val="00E65002"/>
    <w:rsid w:val="00E651D8"/>
    <w:rsid w:val="00E6595D"/>
    <w:rsid w:val="00E66F52"/>
    <w:rsid w:val="00E70522"/>
    <w:rsid w:val="00E714FD"/>
    <w:rsid w:val="00E71861"/>
    <w:rsid w:val="00E719BD"/>
    <w:rsid w:val="00E73E1C"/>
    <w:rsid w:val="00E74BBF"/>
    <w:rsid w:val="00E76AB5"/>
    <w:rsid w:val="00E76DD8"/>
    <w:rsid w:val="00E77079"/>
    <w:rsid w:val="00E77AA4"/>
    <w:rsid w:val="00E80015"/>
    <w:rsid w:val="00E807A2"/>
    <w:rsid w:val="00E820CE"/>
    <w:rsid w:val="00E838EB"/>
    <w:rsid w:val="00E83A1B"/>
    <w:rsid w:val="00E85111"/>
    <w:rsid w:val="00E85735"/>
    <w:rsid w:val="00E90F6B"/>
    <w:rsid w:val="00E95E06"/>
    <w:rsid w:val="00E9750A"/>
    <w:rsid w:val="00EA1E50"/>
    <w:rsid w:val="00EA2A45"/>
    <w:rsid w:val="00EA2F4C"/>
    <w:rsid w:val="00EA3A86"/>
    <w:rsid w:val="00EA5CED"/>
    <w:rsid w:val="00EA5DC1"/>
    <w:rsid w:val="00EA7184"/>
    <w:rsid w:val="00EB01F8"/>
    <w:rsid w:val="00EB2108"/>
    <w:rsid w:val="00EB2A73"/>
    <w:rsid w:val="00EB5333"/>
    <w:rsid w:val="00EC2118"/>
    <w:rsid w:val="00EC6BE7"/>
    <w:rsid w:val="00EC6E6B"/>
    <w:rsid w:val="00EE0487"/>
    <w:rsid w:val="00EE1148"/>
    <w:rsid w:val="00EE1E1A"/>
    <w:rsid w:val="00EE24BE"/>
    <w:rsid w:val="00EE4FF1"/>
    <w:rsid w:val="00EE51CB"/>
    <w:rsid w:val="00EE616A"/>
    <w:rsid w:val="00EE698B"/>
    <w:rsid w:val="00EE6E3C"/>
    <w:rsid w:val="00EF0403"/>
    <w:rsid w:val="00EF1506"/>
    <w:rsid w:val="00EF195B"/>
    <w:rsid w:val="00EF2EF3"/>
    <w:rsid w:val="00EF5151"/>
    <w:rsid w:val="00EF7010"/>
    <w:rsid w:val="00F03006"/>
    <w:rsid w:val="00F0385A"/>
    <w:rsid w:val="00F05477"/>
    <w:rsid w:val="00F05980"/>
    <w:rsid w:val="00F06219"/>
    <w:rsid w:val="00F06840"/>
    <w:rsid w:val="00F07900"/>
    <w:rsid w:val="00F07962"/>
    <w:rsid w:val="00F10A4E"/>
    <w:rsid w:val="00F11ADF"/>
    <w:rsid w:val="00F14503"/>
    <w:rsid w:val="00F1598F"/>
    <w:rsid w:val="00F1669D"/>
    <w:rsid w:val="00F1704B"/>
    <w:rsid w:val="00F17F82"/>
    <w:rsid w:val="00F20AB2"/>
    <w:rsid w:val="00F210FC"/>
    <w:rsid w:val="00F237FB"/>
    <w:rsid w:val="00F24B10"/>
    <w:rsid w:val="00F269DE"/>
    <w:rsid w:val="00F276D5"/>
    <w:rsid w:val="00F31E62"/>
    <w:rsid w:val="00F32A3C"/>
    <w:rsid w:val="00F37A53"/>
    <w:rsid w:val="00F41C00"/>
    <w:rsid w:val="00F4286D"/>
    <w:rsid w:val="00F471A7"/>
    <w:rsid w:val="00F5121E"/>
    <w:rsid w:val="00F514D8"/>
    <w:rsid w:val="00F52199"/>
    <w:rsid w:val="00F52769"/>
    <w:rsid w:val="00F536E7"/>
    <w:rsid w:val="00F538D7"/>
    <w:rsid w:val="00F53FA3"/>
    <w:rsid w:val="00F5641C"/>
    <w:rsid w:val="00F56994"/>
    <w:rsid w:val="00F576BA"/>
    <w:rsid w:val="00F6130E"/>
    <w:rsid w:val="00F650DE"/>
    <w:rsid w:val="00F66D73"/>
    <w:rsid w:val="00F66D94"/>
    <w:rsid w:val="00F67CC1"/>
    <w:rsid w:val="00F705A1"/>
    <w:rsid w:val="00F7413E"/>
    <w:rsid w:val="00F76D38"/>
    <w:rsid w:val="00F76FE7"/>
    <w:rsid w:val="00F80CF8"/>
    <w:rsid w:val="00F83AE4"/>
    <w:rsid w:val="00F92094"/>
    <w:rsid w:val="00F92E0A"/>
    <w:rsid w:val="00F9377C"/>
    <w:rsid w:val="00F94657"/>
    <w:rsid w:val="00F9606E"/>
    <w:rsid w:val="00F964C1"/>
    <w:rsid w:val="00F97A4A"/>
    <w:rsid w:val="00FA288E"/>
    <w:rsid w:val="00FA3898"/>
    <w:rsid w:val="00FA3BE6"/>
    <w:rsid w:val="00FA4195"/>
    <w:rsid w:val="00FA41AE"/>
    <w:rsid w:val="00FA558C"/>
    <w:rsid w:val="00FA6A93"/>
    <w:rsid w:val="00FB1BFE"/>
    <w:rsid w:val="00FB2F35"/>
    <w:rsid w:val="00FB37BD"/>
    <w:rsid w:val="00FB37EE"/>
    <w:rsid w:val="00FB4888"/>
    <w:rsid w:val="00FB5A57"/>
    <w:rsid w:val="00FB7B4E"/>
    <w:rsid w:val="00FC00EF"/>
    <w:rsid w:val="00FC0C07"/>
    <w:rsid w:val="00FC4D12"/>
    <w:rsid w:val="00FC6595"/>
    <w:rsid w:val="00FD1A26"/>
    <w:rsid w:val="00FD2B72"/>
    <w:rsid w:val="00FD4374"/>
    <w:rsid w:val="00FD4ADE"/>
    <w:rsid w:val="00FD4EEF"/>
    <w:rsid w:val="00FD5A57"/>
    <w:rsid w:val="00FD75C3"/>
    <w:rsid w:val="00FD75D6"/>
    <w:rsid w:val="00FD7AE9"/>
    <w:rsid w:val="00FE03DD"/>
    <w:rsid w:val="00FE4D58"/>
    <w:rsid w:val="00FE61AA"/>
    <w:rsid w:val="00FE67DB"/>
    <w:rsid w:val="00FE7254"/>
    <w:rsid w:val="00FF0049"/>
    <w:rsid w:val="00FF334E"/>
    <w:rsid w:val="00FF3649"/>
    <w:rsid w:val="00FF43F5"/>
    <w:rsid w:val="00FF470B"/>
    <w:rsid w:val="00FF53FF"/>
    <w:rsid w:val="00FF7307"/>
    <w:rsid w:val="00FF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F929AB"/>
  <w15:docId w15:val="{8306FAA2-860A-4B79-9124-8AF4180E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E49"/>
  </w:style>
  <w:style w:type="paragraph" w:styleId="Heading1">
    <w:name w:val="heading 1"/>
    <w:basedOn w:val="Normal"/>
    <w:next w:val="Normal"/>
    <w:link w:val="Heading1Char"/>
    <w:uiPriority w:val="9"/>
    <w:qFormat/>
    <w:rsid w:val="000A33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A33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A33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526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93BC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416"/>
    <w:pPr>
      <w:tabs>
        <w:tab w:val="center" w:pos="4680"/>
        <w:tab w:val="right" w:pos="9360"/>
      </w:tabs>
    </w:pPr>
  </w:style>
  <w:style w:type="character" w:customStyle="1" w:styleId="HeaderChar">
    <w:name w:val="Header Char"/>
    <w:basedOn w:val="DefaultParagraphFont"/>
    <w:link w:val="Header"/>
    <w:uiPriority w:val="99"/>
    <w:rsid w:val="005E2416"/>
  </w:style>
  <w:style w:type="paragraph" w:styleId="Footer">
    <w:name w:val="footer"/>
    <w:basedOn w:val="Normal"/>
    <w:link w:val="FooterChar"/>
    <w:uiPriority w:val="99"/>
    <w:unhideWhenUsed/>
    <w:rsid w:val="005E2416"/>
    <w:pPr>
      <w:tabs>
        <w:tab w:val="center" w:pos="4680"/>
        <w:tab w:val="right" w:pos="9360"/>
      </w:tabs>
    </w:pPr>
  </w:style>
  <w:style w:type="character" w:customStyle="1" w:styleId="FooterChar">
    <w:name w:val="Footer Char"/>
    <w:basedOn w:val="DefaultParagraphFont"/>
    <w:link w:val="Footer"/>
    <w:uiPriority w:val="99"/>
    <w:rsid w:val="005E2416"/>
  </w:style>
  <w:style w:type="character" w:styleId="Hyperlink">
    <w:name w:val="Hyperlink"/>
    <w:basedOn w:val="DefaultParagraphFont"/>
    <w:uiPriority w:val="99"/>
    <w:rsid w:val="006F7109"/>
    <w:rPr>
      <w:rFonts w:cs="Times New Roman"/>
      <w:color w:val="0000FF"/>
      <w:u w:val="single"/>
    </w:rPr>
  </w:style>
  <w:style w:type="paragraph" w:styleId="NormalWeb">
    <w:name w:val="Normal (Web)"/>
    <w:basedOn w:val="Normal"/>
    <w:uiPriority w:val="99"/>
    <w:rsid w:val="006F7109"/>
    <w:pPr>
      <w:spacing w:before="100" w:beforeAutospacing="1" w:after="100" w:afterAutospacing="1"/>
    </w:pPr>
    <w:rPr>
      <w:rFonts w:ascii="Verdana" w:eastAsia="Times New Roman" w:hAnsi="Verdana" w:cs="Times New Roman"/>
      <w:color w:val="000000"/>
      <w:sz w:val="20"/>
      <w:szCs w:val="20"/>
    </w:rPr>
  </w:style>
  <w:style w:type="paragraph" w:styleId="EndnoteText">
    <w:name w:val="endnote text"/>
    <w:basedOn w:val="Normal"/>
    <w:link w:val="EndnoteTextChar"/>
    <w:uiPriority w:val="99"/>
    <w:semiHidden/>
    <w:rsid w:val="006F7109"/>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6F710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6F7109"/>
    <w:rPr>
      <w:rFonts w:cs="Times New Roman"/>
      <w:vertAlign w:val="superscript"/>
    </w:rPr>
  </w:style>
  <w:style w:type="paragraph" w:styleId="ListParagraph">
    <w:name w:val="List Paragraph"/>
    <w:basedOn w:val="Normal"/>
    <w:uiPriority w:val="34"/>
    <w:qFormat/>
    <w:rsid w:val="006F7109"/>
    <w:pPr>
      <w:ind w:left="720"/>
      <w:contextualSpacing/>
    </w:pPr>
    <w:rPr>
      <w:rFonts w:ascii="Times New Roman" w:eastAsia="Times New Roman" w:hAnsi="Times New Roman" w:cs="Times New Roman"/>
      <w:sz w:val="24"/>
      <w:szCs w:val="24"/>
    </w:rPr>
  </w:style>
  <w:style w:type="paragraph" w:customStyle="1" w:styleId="Heading">
    <w:name w:val="Heading"/>
    <w:basedOn w:val="Normal"/>
    <w:link w:val="HeadingChar"/>
    <w:uiPriority w:val="99"/>
    <w:rsid w:val="006F7109"/>
    <w:rPr>
      <w:rFonts w:ascii="Arial" w:eastAsia="Times New Roman" w:hAnsi="Arial" w:cs="Arial"/>
      <w:b/>
      <w:color w:val="FF0000"/>
      <w:sz w:val="40"/>
      <w:szCs w:val="40"/>
    </w:rPr>
  </w:style>
  <w:style w:type="character" w:customStyle="1" w:styleId="HeadingChar">
    <w:name w:val="Heading Char"/>
    <w:basedOn w:val="DefaultParagraphFont"/>
    <w:link w:val="Heading"/>
    <w:uiPriority w:val="99"/>
    <w:locked/>
    <w:rsid w:val="006F7109"/>
    <w:rPr>
      <w:rFonts w:ascii="Arial" w:eastAsia="Times New Roman" w:hAnsi="Arial" w:cs="Arial"/>
      <w:b/>
      <w:color w:val="FF0000"/>
      <w:sz w:val="40"/>
      <w:szCs w:val="40"/>
    </w:rPr>
  </w:style>
  <w:style w:type="paragraph" w:customStyle="1" w:styleId="CCTOCHeading">
    <w:name w:val="CC TOC Heading"/>
    <w:basedOn w:val="NormalWeb"/>
    <w:uiPriority w:val="99"/>
    <w:qFormat/>
    <w:rsid w:val="00E36FF6"/>
    <w:pPr>
      <w:keepNext/>
      <w:spacing w:before="360" w:beforeAutospacing="0" w:after="240" w:afterAutospacing="0"/>
    </w:pPr>
    <w:rPr>
      <w:rFonts w:ascii="Calibri" w:hAnsi="Calibri" w:cs="Arial"/>
      <w:b/>
      <w:color w:val="1F497D" w:themeColor="text2"/>
      <w:sz w:val="40"/>
      <w:szCs w:val="40"/>
    </w:rPr>
  </w:style>
  <w:style w:type="paragraph" w:customStyle="1" w:styleId="CCAgencyHeading">
    <w:name w:val="CC Agency Heading"/>
    <w:basedOn w:val="Heading"/>
    <w:qFormat/>
    <w:rsid w:val="006F7109"/>
    <w:pPr>
      <w:spacing w:before="240" w:after="240"/>
    </w:pPr>
    <w:rPr>
      <w:rFonts w:ascii="ITC Avant Garde Gothic" w:hAnsi="ITC Avant Garde Gothic"/>
      <w:color w:val="03653F"/>
      <w:sz w:val="36"/>
      <w:szCs w:val="36"/>
    </w:rPr>
  </w:style>
  <w:style w:type="paragraph" w:customStyle="1" w:styleId="CCIssuance">
    <w:name w:val="CC Issuance"/>
    <w:basedOn w:val="Heading"/>
    <w:uiPriority w:val="99"/>
    <w:rsid w:val="006D3895"/>
    <w:pPr>
      <w:keepNext/>
      <w:spacing w:after="240"/>
    </w:pPr>
    <w:rPr>
      <w:rFonts w:ascii="ITC Avant Garde Gothic" w:hAnsi="ITC Avant Garde Gothic"/>
      <w:color w:val="595959" w:themeColor="text1" w:themeTint="A6"/>
      <w:sz w:val="24"/>
      <w:szCs w:val="24"/>
    </w:rPr>
  </w:style>
  <w:style w:type="paragraph" w:customStyle="1" w:styleId="CCbodytext">
    <w:name w:val="CC body text"/>
    <w:basedOn w:val="Heading"/>
    <w:qFormat/>
    <w:rsid w:val="00A215EA"/>
    <w:pPr>
      <w:spacing w:after="120"/>
    </w:pPr>
    <w:rPr>
      <w:rFonts w:ascii="Calibri Light" w:hAnsi="Calibri Light"/>
      <w:b w:val="0"/>
      <w:color w:val="auto"/>
      <w:sz w:val="22"/>
      <w:szCs w:val="22"/>
    </w:rPr>
  </w:style>
  <w:style w:type="paragraph" w:customStyle="1" w:styleId="CCComment">
    <w:name w:val="CC Comment"/>
    <w:basedOn w:val="Normal"/>
    <w:uiPriority w:val="99"/>
    <w:qFormat/>
    <w:rsid w:val="00E00CCD"/>
    <w:pPr>
      <w:spacing w:after="120"/>
    </w:pPr>
    <w:rPr>
      <w:rFonts w:ascii="Calibri Light" w:hAnsi="Calibri Light" w:cs="Arial"/>
      <w:b/>
      <w:i/>
      <w:color w:val="03653F"/>
    </w:rPr>
  </w:style>
  <w:style w:type="paragraph" w:customStyle="1" w:styleId="CCBullet">
    <w:name w:val="CC Bullet"/>
    <w:basedOn w:val="ListParagraph"/>
    <w:qFormat/>
    <w:rsid w:val="00E00CCD"/>
    <w:pPr>
      <w:numPr>
        <w:numId w:val="1"/>
      </w:numPr>
    </w:pPr>
    <w:rPr>
      <w:rFonts w:ascii="Calibri Light" w:hAnsi="Calibri Light"/>
      <w:sz w:val="22"/>
      <w:szCs w:val="22"/>
    </w:rPr>
  </w:style>
  <w:style w:type="character" w:customStyle="1" w:styleId="Heading1Char">
    <w:name w:val="Heading 1 Char"/>
    <w:basedOn w:val="DefaultParagraphFont"/>
    <w:link w:val="Heading1"/>
    <w:uiPriority w:val="9"/>
    <w:rsid w:val="000A33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A33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A33C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qFormat/>
    <w:rsid w:val="00C71A01"/>
    <w:pPr>
      <w:tabs>
        <w:tab w:val="right" w:leader="dot" w:pos="10080"/>
      </w:tabs>
      <w:spacing w:after="100"/>
      <w:ind w:left="720"/>
    </w:pPr>
    <w:rPr>
      <w:rFonts w:ascii="Calibri" w:hAnsi="Calibri"/>
      <w:color w:val="FFFFFF" w:themeColor="background1"/>
    </w:rPr>
  </w:style>
  <w:style w:type="paragraph" w:styleId="BalloonText">
    <w:name w:val="Balloon Text"/>
    <w:basedOn w:val="Normal"/>
    <w:link w:val="BalloonTextChar"/>
    <w:uiPriority w:val="99"/>
    <w:semiHidden/>
    <w:unhideWhenUsed/>
    <w:rsid w:val="00C87C97"/>
    <w:rPr>
      <w:rFonts w:ascii="Tahoma" w:hAnsi="Tahoma" w:cs="Tahoma"/>
      <w:sz w:val="16"/>
      <w:szCs w:val="16"/>
    </w:rPr>
  </w:style>
  <w:style w:type="character" w:customStyle="1" w:styleId="BalloonTextChar">
    <w:name w:val="Balloon Text Char"/>
    <w:basedOn w:val="DefaultParagraphFont"/>
    <w:link w:val="BalloonText"/>
    <w:uiPriority w:val="99"/>
    <w:semiHidden/>
    <w:rsid w:val="00C87C97"/>
    <w:rPr>
      <w:rFonts w:ascii="Tahoma" w:hAnsi="Tahoma" w:cs="Tahoma"/>
      <w:sz w:val="16"/>
      <w:szCs w:val="16"/>
    </w:rPr>
  </w:style>
  <w:style w:type="character" w:customStyle="1" w:styleId="apple-converted-space">
    <w:name w:val="apple-converted-space"/>
    <w:basedOn w:val="DefaultParagraphFont"/>
    <w:rsid w:val="001D4076"/>
  </w:style>
  <w:style w:type="character" w:customStyle="1" w:styleId="date-display-single">
    <w:name w:val="date-display-single"/>
    <w:basedOn w:val="DefaultParagraphFont"/>
    <w:rsid w:val="00271F03"/>
  </w:style>
  <w:style w:type="character" w:customStyle="1" w:styleId="date-display-start">
    <w:name w:val="date-display-start"/>
    <w:basedOn w:val="DefaultParagraphFont"/>
    <w:rsid w:val="00271F03"/>
  </w:style>
  <w:style w:type="character" w:customStyle="1" w:styleId="date-display-end">
    <w:name w:val="date-display-end"/>
    <w:basedOn w:val="DefaultParagraphFont"/>
    <w:rsid w:val="00271F03"/>
  </w:style>
  <w:style w:type="character" w:styleId="FollowedHyperlink">
    <w:name w:val="FollowedHyperlink"/>
    <w:basedOn w:val="DefaultParagraphFont"/>
    <w:uiPriority w:val="99"/>
    <w:semiHidden/>
    <w:unhideWhenUsed/>
    <w:rsid w:val="00395C2F"/>
    <w:rPr>
      <w:color w:val="800080" w:themeColor="followedHyperlink"/>
      <w:u w:val="single"/>
    </w:rPr>
  </w:style>
  <w:style w:type="paragraph" w:styleId="TOCHeading">
    <w:name w:val="TOC Heading"/>
    <w:basedOn w:val="Heading1"/>
    <w:next w:val="Normal"/>
    <w:uiPriority w:val="39"/>
    <w:semiHidden/>
    <w:unhideWhenUsed/>
    <w:qFormat/>
    <w:rsid w:val="00996B12"/>
    <w:pPr>
      <w:spacing w:line="276" w:lineRule="auto"/>
      <w:outlineLvl w:val="9"/>
    </w:pPr>
  </w:style>
  <w:style w:type="paragraph" w:styleId="TOC2">
    <w:name w:val="toc 2"/>
    <w:basedOn w:val="Normal"/>
    <w:next w:val="Normal"/>
    <w:autoRedefine/>
    <w:uiPriority w:val="39"/>
    <w:semiHidden/>
    <w:unhideWhenUsed/>
    <w:qFormat/>
    <w:rsid w:val="00996B12"/>
    <w:pPr>
      <w:spacing w:after="100" w:line="276" w:lineRule="auto"/>
      <w:ind w:left="220"/>
    </w:pPr>
    <w:rPr>
      <w:rFonts w:eastAsiaTheme="minorEastAsia"/>
    </w:rPr>
  </w:style>
  <w:style w:type="paragraph" w:styleId="TOC3">
    <w:name w:val="toc 3"/>
    <w:basedOn w:val="Normal"/>
    <w:next w:val="Normal"/>
    <w:autoRedefine/>
    <w:uiPriority w:val="39"/>
    <w:semiHidden/>
    <w:unhideWhenUsed/>
    <w:qFormat/>
    <w:rsid w:val="00996B12"/>
    <w:pPr>
      <w:spacing w:after="100" w:line="276" w:lineRule="auto"/>
      <w:ind w:left="440"/>
    </w:pPr>
    <w:rPr>
      <w:rFonts w:eastAsiaTheme="minorEastAsia"/>
    </w:rPr>
  </w:style>
  <w:style w:type="character" w:customStyle="1" w:styleId="Heading4Char">
    <w:name w:val="Heading 4 Char"/>
    <w:basedOn w:val="DefaultParagraphFont"/>
    <w:link w:val="Heading4"/>
    <w:uiPriority w:val="9"/>
    <w:semiHidden/>
    <w:rsid w:val="0096526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510ABD"/>
    <w:rPr>
      <w:i/>
      <w:iCs/>
    </w:rPr>
  </w:style>
  <w:style w:type="character" w:styleId="Strong">
    <w:name w:val="Strong"/>
    <w:basedOn w:val="DefaultParagraphFont"/>
    <w:uiPriority w:val="22"/>
    <w:qFormat/>
    <w:rsid w:val="00EB2A73"/>
    <w:rPr>
      <w:b/>
      <w:bCs/>
    </w:rPr>
  </w:style>
  <w:style w:type="character" w:customStyle="1" w:styleId="h4">
    <w:name w:val="h4"/>
    <w:basedOn w:val="DefaultParagraphFont"/>
    <w:rsid w:val="00C74983"/>
  </w:style>
  <w:style w:type="character" w:customStyle="1" w:styleId="datetime">
    <w:name w:val="datetime"/>
    <w:basedOn w:val="DefaultParagraphFont"/>
    <w:rsid w:val="00C74983"/>
  </w:style>
  <w:style w:type="character" w:customStyle="1" w:styleId="u-visually-hidden">
    <w:name w:val="u-visually-hidden"/>
    <w:basedOn w:val="DefaultParagraphFont"/>
    <w:rsid w:val="00C74983"/>
  </w:style>
  <w:style w:type="character" w:customStyle="1" w:styleId="icon-linktext">
    <w:name w:val="icon-link_text"/>
    <w:basedOn w:val="DefaultParagraphFont"/>
    <w:rsid w:val="00AA79BF"/>
  </w:style>
  <w:style w:type="paragraph" w:customStyle="1" w:styleId="Default">
    <w:name w:val="Default"/>
    <w:rsid w:val="00682EEC"/>
    <w:pPr>
      <w:autoSpaceDE w:val="0"/>
      <w:autoSpaceDN w:val="0"/>
      <w:adjustRightInd w:val="0"/>
    </w:pPr>
    <w:rPr>
      <w:rFonts w:ascii="Courier New" w:hAnsi="Courier New" w:cs="Courier New"/>
      <w:color w:val="000000"/>
      <w:sz w:val="24"/>
      <w:szCs w:val="24"/>
    </w:rPr>
  </w:style>
  <w:style w:type="character" w:styleId="Mention">
    <w:name w:val="Mention"/>
    <w:basedOn w:val="DefaultParagraphFont"/>
    <w:uiPriority w:val="99"/>
    <w:semiHidden/>
    <w:unhideWhenUsed/>
    <w:rsid w:val="0024457E"/>
    <w:rPr>
      <w:color w:val="2B579A"/>
      <w:shd w:val="clear" w:color="auto" w:fill="E6E6E6"/>
    </w:rPr>
  </w:style>
  <w:style w:type="character" w:customStyle="1" w:styleId="UnresolvedMention1">
    <w:name w:val="Unresolved Mention1"/>
    <w:basedOn w:val="DefaultParagraphFont"/>
    <w:uiPriority w:val="99"/>
    <w:semiHidden/>
    <w:unhideWhenUsed/>
    <w:rsid w:val="00DF0213"/>
    <w:rPr>
      <w:color w:val="808080"/>
      <w:shd w:val="clear" w:color="auto" w:fill="E6E6E6"/>
    </w:rPr>
  </w:style>
  <w:style w:type="character" w:customStyle="1" w:styleId="UnresolvedMention2">
    <w:name w:val="Unresolved Mention2"/>
    <w:basedOn w:val="DefaultParagraphFont"/>
    <w:uiPriority w:val="99"/>
    <w:semiHidden/>
    <w:unhideWhenUsed/>
    <w:rsid w:val="00785F7F"/>
    <w:rPr>
      <w:color w:val="808080"/>
      <w:shd w:val="clear" w:color="auto" w:fill="E6E6E6"/>
    </w:rPr>
  </w:style>
  <w:style w:type="character" w:customStyle="1" w:styleId="Heading5Char">
    <w:name w:val="Heading 5 Char"/>
    <w:basedOn w:val="DefaultParagraphFont"/>
    <w:link w:val="Heading5"/>
    <w:uiPriority w:val="9"/>
    <w:semiHidden/>
    <w:rsid w:val="00C93BC8"/>
    <w:rPr>
      <w:rFonts w:asciiTheme="majorHAnsi" w:eastAsiaTheme="majorEastAsia" w:hAnsiTheme="majorHAnsi" w:cstheme="majorBidi"/>
      <w:color w:val="365F91" w:themeColor="accent1" w:themeShade="BF"/>
    </w:rPr>
  </w:style>
  <w:style w:type="character" w:customStyle="1" w:styleId="UnresolvedMention3">
    <w:name w:val="Unresolved Mention3"/>
    <w:basedOn w:val="DefaultParagraphFont"/>
    <w:uiPriority w:val="99"/>
    <w:semiHidden/>
    <w:unhideWhenUsed/>
    <w:rsid w:val="007A5A88"/>
    <w:rPr>
      <w:color w:val="808080"/>
      <w:shd w:val="clear" w:color="auto" w:fill="E6E6E6"/>
    </w:rPr>
  </w:style>
  <w:style w:type="character" w:customStyle="1" w:styleId="UnresolvedMention4">
    <w:name w:val="Unresolved Mention4"/>
    <w:basedOn w:val="DefaultParagraphFont"/>
    <w:uiPriority w:val="99"/>
    <w:semiHidden/>
    <w:unhideWhenUsed/>
    <w:rsid w:val="00AF5733"/>
    <w:rPr>
      <w:color w:val="808080"/>
      <w:shd w:val="clear" w:color="auto" w:fill="E6E6E6"/>
    </w:rPr>
  </w:style>
  <w:style w:type="character" w:customStyle="1" w:styleId="UnresolvedMention5">
    <w:name w:val="Unresolved Mention5"/>
    <w:basedOn w:val="DefaultParagraphFont"/>
    <w:uiPriority w:val="99"/>
    <w:semiHidden/>
    <w:unhideWhenUsed/>
    <w:rsid w:val="00F6130E"/>
    <w:rPr>
      <w:color w:val="808080"/>
      <w:shd w:val="clear" w:color="auto" w:fill="E6E6E6"/>
    </w:rPr>
  </w:style>
  <w:style w:type="character" w:customStyle="1" w:styleId="UnresolvedMention6">
    <w:name w:val="Unresolved Mention6"/>
    <w:basedOn w:val="DefaultParagraphFont"/>
    <w:uiPriority w:val="99"/>
    <w:semiHidden/>
    <w:unhideWhenUsed/>
    <w:rsid w:val="001018EF"/>
    <w:rPr>
      <w:color w:val="808080"/>
      <w:shd w:val="clear" w:color="auto" w:fill="E6E6E6"/>
    </w:rPr>
  </w:style>
  <w:style w:type="character" w:styleId="UnresolvedMention">
    <w:name w:val="Unresolved Mention"/>
    <w:basedOn w:val="DefaultParagraphFont"/>
    <w:uiPriority w:val="99"/>
    <w:semiHidden/>
    <w:unhideWhenUsed/>
    <w:rsid w:val="00776C33"/>
    <w:rPr>
      <w:color w:val="808080"/>
      <w:shd w:val="clear" w:color="auto" w:fill="E6E6E6"/>
    </w:rPr>
  </w:style>
  <w:style w:type="paragraph" w:customStyle="1" w:styleId="gdp">
    <w:name w:val="gd_p"/>
    <w:basedOn w:val="Normal"/>
    <w:rsid w:val="00186139"/>
    <w:pPr>
      <w:spacing w:before="100" w:beforeAutospacing="1" w:after="100" w:afterAutospacing="1"/>
    </w:pPr>
    <w:rPr>
      <w:rFonts w:ascii="Calibri" w:hAnsi="Calibri" w:cs="Calibri"/>
    </w:rPr>
  </w:style>
  <w:style w:type="table" w:styleId="TableGrid">
    <w:name w:val="Table Grid"/>
    <w:basedOn w:val="TableNormal"/>
    <w:uiPriority w:val="59"/>
    <w:rsid w:val="000F0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6AD8"/>
    <w:rPr>
      <w:sz w:val="16"/>
      <w:szCs w:val="16"/>
    </w:rPr>
  </w:style>
  <w:style w:type="paragraph" w:styleId="CommentText">
    <w:name w:val="annotation text"/>
    <w:basedOn w:val="Normal"/>
    <w:link w:val="CommentTextChar"/>
    <w:uiPriority w:val="99"/>
    <w:semiHidden/>
    <w:unhideWhenUsed/>
    <w:rsid w:val="00436AD8"/>
    <w:rPr>
      <w:sz w:val="20"/>
      <w:szCs w:val="20"/>
    </w:rPr>
  </w:style>
  <w:style w:type="character" w:customStyle="1" w:styleId="CommentTextChar">
    <w:name w:val="Comment Text Char"/>
    <w:basedOn w:val="DefaultParagraphFont"/>
    <w:link w:val="CommentText"/>
    <w:uiPriority w:val="99"/>
    <w:semiHidden/>
    <w:rsid w:val="00436AD8"/>
    <w:rPr>
      <w:sz w:val="20"/>
      <w:szCs w:val="20"/>
    </w:rPr>
  </w:style>
  <w:style w:type="paragraph" w:styleId="CommentSubject">
    <w:name w:val="annotation subject"/>
    <w:basedOn w:val="CommentText"/>
    <w:next w:val="CommentText"/>
    <w:link w:val="CommentSubjectChar"/>
    <w:uiPriority w:val="99"/>
    <w:semiHidden/>
    <w:unhideWhenUsed/>
    <w:rsid w:val="00436AD8"/>
    <w:rPr>
      <w:b/>
      <w:bCs/>
    </w:rPr>
  </w:style>
  <w:style w:type="character" w:customStyle="1" w:styleId="CommentSubjectChar">
    <w:name w:val="Comment Subject Char"/>
    <w:basedOn w:val="CommentTextChar"/>
    <w:link w:val="CommentSubject"/>
    <w:uiPriority w:val="99"/>
    <w:semiHidden/>
    <w:rsid w:val="00436AD8"/>
    <w:rPr>
      <w:b/>
      <w:bCs/>
      <w:sz w:val="20"/>
      <w:szCs w:val="20"/>
    </w:rPr>
  </w:style>
  <w:style w:type="paragraph" w:styleId="Revision">
    <w:name w:val="Revision"/>
    <w:hidden/>
    <w:uiPriority w:val="99"/>
    <w:semiHidden/>
    <w:rsid w:val="00436AD8"/>
  </w:style>
  <w:style w:type="paragraph" w:styleId="z-BottomofForm">
    <w:name w:val="HTML Bottom of Form"/>
    <w:basedOn w:val="Normal"/>
    <w:next w:val="Normal"/>
    <w:link w:val="z-BottomofFormChar"/>
    <w:hidden/>
    <w:uiPriority w:val="99"/>
    <w:semiHidden/>
    <w:unhideWhenUsed/>
    <w:rsid w:val="0062172D"/>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2172D"/>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644">
      <w:bodyDiv w:val="1"/>
      <w:marLeft w:val="0"/>
      <w:marRight w:val="0"/>
      <w:marTop w:val="0"/>
      <w:marBottom w:val="0"/>
      <w:divBdr>
        <w:top w:val="none" w:sz="0" w:space="0" w:color="auto"/>
        <w:left w:val="none" w:sz="0" w:space="0" w:color="auto"/>
        <w:bottom w:val="none" w:sz="0" w:space="0" w:color="auto"/>
        <w:right w:val="none" w:sz="0" w:space="0" w:color="auto"/>
      </w:divBdr>
    </w:div>
    <w:div w:id="10840820">
      <w:bodyDiv w:val="1"/>
      <w:marLeft w:val="0"/>
      <w:marRight w:val="0"/>
      <w:marTop w:val="0"/>
      <w:marBottom w:val="0"/>
      <w:divBdr>
        <w:top w:val="none" w:sz="0" w:space="0" w:color="auto"/>
        <w:left w:val="none" w:sz="0" w:space="0" w:color="auto"/>
        <w:bottom w:val="none" w:sz="0" w:space="0" w:color="auto"/>
        <w:right w:val="none" w:sz="0" w:space="0" w:color="auto"/>
      </w:divBdr>
    </w:div>
    <w:div w:id="18969144">
      <w:marLeft w:val="0"/>
      <w:marRight w:val="0"/>
      <w:marTop w:val="0"/>
      <w:marBottom w:val="0"/>
      <w:divBdr>
        <w:top w:val="none" w:sz="0" w:space="0" w:color="auto"/>
        <w:left w:val="none" w:sz="0" w:space="0" w:color="auto"/>
        <w:bottom w:val="none" w:sz="0" w:space="0" w:color="auto"/>
        <w:right w:val="none" w:sz="0" w:space="0" w:color="auto"/>
      </w:divBdr>
      <w:divsChild>
        <w:div w:id="2063939806">
          <w:marLeft w:val="0"/>
          <w:marRight w:val="0"/>
          <w:marTop w:val="0"/>
          <w:marBottom w:val="0"/>
          <w:divBdr>
            <w:top w:val="none" w:sz="0" w:space="0" w:color="auto"/>
            <w:left w:val="none" w:sz="0" w:space="0" w:color="auto"/>
            <w:bottom w:val="none" w:sz="0" w:space="0" w:color="auto"/>
            <w:right w:val="none" w:sz="0" w:space="0" w:color="auto"/>
          </w:divBdr>
        </w:div>
        <w:div w:id="807866214">
          <w:marLeft w:val="0"/>
          <w:marRight w:val="0"/>
          <w:marTop w:val="0"/>
          <w:marBottom w:val="0"/>
          <w:divBdr>
            <w:top w:val="none" w:sz="0" w:space="0" w:color="auto"/>
            <w:left w:val="none" w:sz="0" w:space="0" w:color="auto"/>
            <w:bottom w:val="none" w:sz="0" w:space="0" w:color="auto"/>
            <w:right w:val="none" w:sz="0" w:space="0" w:color="auto"/>
          </w:divBdr>
        </w:div>
        <w:div w:id="1299263440">
          <w:marLeft w:val="0"/>
          <w:marRight w:val="0"/>
          <w:marTop w:val="0"/>
          <w:marBottom w:val="0"/>
          <w:divBdr>
            <w:top w:val="none" w:sz="0" w:space="0" w:color="auto"/>
            <w:left w:val="none" w:sz="0" w:space="0" w:color="auto"/>
            <w:bottom w:val="none" w:sz="0" w:space="0" w:color="auto"/>
            <w:right w:val="none" w:sz="0" w:space="0" w:color="auto"/>
          </w:divBdr>
        </w:div>
        <w:div w:id="461465362">
          <w:marLeft w:val="0"/>
          <w:marRight w:val="0"/>
          <w:marTop w:val="0"/>
          <w:marBottom w:val="0"/>
          <w:divBdr>
            <w:top w:val="none" w:sz="0" w:space="0" w:color="auto"/>
            <w:left w:val="none" w:sz="0" w:space="0" w:color="auto"/>
            <w:bottom w:val="none" w:sz="0" w:space="0" w:color="auto"/>
            <w:right w:val="none" w:sz="0" w:space="0" w:color="auto"/>
          </w:divBdr>
          <w:divsChild>
            <w:div w:id="147670809">
              <w:marLeft w:val="0"/>
              <w:marRight w:val="0"/>
              <w:marTop w:val="0"/>
              <w:marBottom w:val="0"/>
              <w:divBdr>
                <w:top w:val="none" w:sz="0" w:space="0" w:color="auto"/>
                <w:left w:val="none" w:sz="0" w:space="0" w:color="auto"/>
                <w:bottom w:val="none" w:sz="0" w:space="0" w:color="auto"/>
                <w:right w:val="none" w:sz="0" w:space="0" w:color="auto"/>
              </w:divBdr>
              <w:divsChild>
                <w:div w:id="1480070758">
                  <w:marLeft w:val="0"/>
                  <w:marRight w:val="0"/>
                  <w:marTop w:val="0"/>
                  <w:marBottom w:val="0"/>
                  <w:divBdr>
                    <w:top w:val="none" w:sz="0" w:space="0" w:color="auto"/>
                    <w:left w:val="none" w:sz="0" w:space="0" w:color="auto"/>
                    <w:bottom w:val="none" w:sz="0" w:space="0" w:color="auto"/>
                    <w:right w:val="none" w:sz="0" w:space="0" w:color="auto"/>
                  </w:divBdr>
                </w:div>
                <w:div w:id="125871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9133">
          <w:marLeft w:val="0"/>
          <w:marRight w:val="0"/>
          <w:marTop w:val="0"/>
          <w:marBottom w:val="0"/>
          <w:divBdr>
            <w:top w:val="none" w:sz="0" w:space="0" w:color="auto"/>
            <w:left w:val="none" w:sz="0" w:space="0" w:color="auto"/>
            <w:bottom w:val="none" w:sz="0" w:space="0" w:color="auto"/>
            <w:right w:val="none" w:sz="0" w:space="0" w:color="auto"/>
          </w:divBdr>
          <w:divsChild>
            <w:div w:id="98991442">
              <w:marLeft w:val="0"/>
              <w:marRight w:val="0"/>
              <w:marTop w:val="0"/>
              <w:marBottom w:val="0"/>
              <w:divBdr>
                <w:top w:val="none" w:sz="0" w:space="0" w:color="auto"/>
                <w:left w:val="none" w:sz="0" w:space="0" w:color="auto"/>
                <w:bottom w:val="none" w:sz="0" w:space="0" w:color="auto"/>
                <w:right w:val="none" w:sz="0" w:space="0" w:color="auto"/>
              </w:divBdr>
              <w:divsChild>
                <w:div w:id="1357775371">
                  <w:marLeft w:val="0"/>
                  <w:marRight w:val="0"/>
                  <w:marTop w:val="0"/>
                  <w:marBottom w:val="0"/>
                  <w:divBdr>
                    <w:top w:val="none" w:sz="0" w:space="0" w:color="auto"/>
                    <w:left w:val="none" w:sz="0" w:space="0" w:color="auto"/>
                    <w:bottom w:val="none" w:sz="0" w:space="0" w:color="auto"/>
                    <w:right w:val="none" w:sz="0" w:space="0" w:color="auto"/>
                  </w:divBdr>
                </w:div>
                <w:div w:id="2020958774">
                  <w:marLeft w:val="0"/>
                  <w:marRight w:val="0"/>
                  <w:marTop w:val="0"/>
                  <w:marBottom w:val="0"/>
                  <w:divBdr>
                    <w:top w:val="none" w:sz="0" w:space="0" w:color="auto"/>
                    <w:left w:val="none" w:sz="0" w:space="0" w:color="auto"/>
                    <w:bottom w:val="none" w:sz="0" w:space="0" w:color="auto"/>
                    <w:right w:val="none" w:sz="0" w:space="0" w:color="auto"/>
                  </w:divBdr>
                </w:div>
                <w:div w:id="12596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29836">
          <w:marLeft w:val="0"/>
          <w:marRight w:val="0"/>
          <w:marTop w:val="0"/>
          <w:marBottom w:val="0"/>
          <w:divBdr>
            <w:top w:val="none" w:sz="0" w:space="0" w:color="auto"/>
            <w:left w:val="none" w:sz="0" w:space="0" w:color="auto"/>
            <w:bottom w:val="none" w:sz="0" w:space="0" w:color="auto"/>
            <w:right w:val="none" w:sz="0" w:space="0" w:color="auto"/>
          </w:divBdr>
          <w:divsChild>
            <w:div w:id="1646472937">
              <w:marLeft w:val="0"/>
              <w:marRight w:val="0"/>
              <w:marTop w:val="0"/>
              <w:marBottom w:val="0"/>
              <w:divBdr>
                <w:top w:val="none" w:sz="0" w:space="0" w:color="auto"/>
                <w:left w:val="none" w:sz="0" w:space="0" w:color="auto"/>
                <w:bottom w:val="none" w:sz="0" w:space="0" w:color="auto"/>
                <w:right w:val="none" w:sz="0" w:space="0" w:color="auto"/>
              </w:divBdr>
              <w:divsChild>
                <w:div w:id="1177844962">
                  <w:marLeft w:val="0"/>
                  <w:marRight w:val="0"/>
                  <w:marTop w:val="0"/>
                  <w:marBottom w:val="0"/>
                  <w:divBdr>
                    <w:top w:val="none" w:sz="0" w:space="0" w:color="auto"/>
                    <w:left w:val="none" w:sz="0" w:space="0" w:color="auto"/>
                    <w:bottom w:val="none" w:sz="0" w:space="0" w:color="auto"/>
                    <w:right w:val="none" w:sz="0" w:space="0" w:color="auto"/>
                  </w:divBdr>
                </w:div>
                <w:div w:id="1025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5541">
      <w:bodyDiv w:val="1"/>
      <w:marLeft w:val="0"/>
      <w:marRight w:val="0"/>
      <w:marTop w:val="0"/>
      <w:marBottom w:val="0"/>
      <w:divBdr>
        <w:top w:val="none" w:sz="0" w:space="0" w:color="auto"/>
        <w:left w:val="none" w:sz="0" w:space="0" w:color="auto"/>
        <w:bottom w:val="none" w:sz="0" w:space="0" w:color="auto"/>
        <w:right w:val="none" w:sz="0" w:space="0" w:color="auto"/>
      </w:divBdr>
    </w:div>
    <w:div w:id="34544369">
      <w:bodyDiv w:val="1"/>
      <w:marLeft w:val="0"/>
      <w:marRight w:val="0"/>
      <w:marTop w:val="0"/>
      <w:marBottom w:val="0"/>
      <w:divBdr>
        <w:top w:val="none" w:sz="0" w:space="0" w:color="auto"/>
        <w:left w:val="none" w:sz="0" w:space="0" w:color="auto"/>
        <w:bottom w:val="none" w:sz="0" w:space="0" w:color="auto"/>
        <w:right w:val="none" w:sz="0" w:space="0" w:color="auto"/>
      </w:divBdr>
      <w:divsChild>
        <w:div w:id="1539781118">
          <w:marLeft w:val="0"/>
          <w:marRight w:val="0"/>
          <w:marTop w:val="0"/>
          <w:marBottom w:val="0"/>
          <w:divBdr>
            <w:top w:val="none" w:sz="0" w:space="0" w:color="auto"/>
            <w:left w:val="none" w:sz="0" w:space="0" w:color="auto"/>
            <w:bottom w:val="none" w:sz="0" w:space="0" w:color="auto"/>
            <w:right w:val="none" w:sz="0" w:space="0" w:color="auto"/>
          </w:divBdr>
          <w:divsChild>
            <w:div w:id="13770012">
              <w:marLeft w:val="0"/>
              <w:marRight w:val="0"/>
              <w:marTop w:val="0"/>
              <w:marBottom w:val="0"/>
              <w:divBdr>
                <w:top w:val="none" w:sz="0" w:space="0" w:color="auto"/>
                <w:left w:val="none" w:sz="0" w:space="0" w:color="auto"/>
                <w:bottom w:val="none" w:sz="0" w:space="0" w:color="auto"/>
                <w:right w:val="none" w:sz="0" w:space="0" w:color="auto"/>
              </w:divBdr>
              <w:divsChild>
                <w:div w:id="812142634">
                  <w:marLeft w:val="0"/>
                  <w:marRight w:val="0"/>
                  <w:marTop w:val="0"/>
                  <w:marBottom w:val="0"/>
                  <w:divBdr>
                    <w:top w:val="none" w:sz="0" w:space="0" w:color="auto"/>
                    <w:left w:val="none" w:sz="0" w:space="0" w:color="auto"/>
                    <w:bottom w:val="none" w:sz="0" w:space="0" w:color="auto"/>
                    <w:right w:val="none" w:sz="0" w:space="0" w:color="auto"/>
                  </w:divBdr>
                  <w:divsChild>
                    <w:div w:id="729109524">
                      <w:marLeft w:val="-225"/>
                      <w:marRight w:val="-225"/>
                      <w:marTop w:val="0"/>
                      <w:marBottom w:val="0"/>
                      <w:divBdr>
                        <w:top w:val="none" w:sz="0" w:space="0" w:color="auto"/>
                        <w:left w:val="none" w:sz="0" w:space="0" w:color="auto"/>
                        <w:bottom w:val="none" w:sz="0" w:space="0" w:color="auto"/>
                        <w:right w:val="none" w:sz="0" w:space="0" w:color="auto"/>
                      </w:divBdr>
                      <w:divsChild>
                        <w:div w:id="277373146">
                          <w:marLeft w:val="0"/>
                          <w:marRight w:val="0"/>
                          <w:marTop w:val="0"/>
                          <w:marBottom w:val="0"/>
                          <w:divBdr>
                            <w:top w:val="none" w:sz="0" w:space="0" w:color="auto"/>
                            <w:left w:val="none" w:sz="0" w:space="0" w:color="auto"/>
                            <w:bottom w:val="none" w:sz="0" w:space="0" w:color="auto"/>
                            <w:right w:val="none" w:sz="0" w:space="0" w:color="auto"/>
                          </w:divBdr>
                          <w:divsChild>
                            <w:div w:id="1367364024">
                              <w:marLeft w:val="0"/>
                              <w:marRight w:val="0"/>
                              <w:marTop w:val="0"/>
                              <w:marBottom w:val="0"/>
                              <w:divBdr>
                                <w:top w:val="none" w:sz="0" w:space="0" w:color="auto"/>
                                <w:left w:val="none" w:sz="0" w:space="0" w:color="auto"/>
                                <w:bottom w:val="none" w:sz="0" w:space="0" w:color="auto"/>
                                <w:right w:val="none" w:sz="0" w:space="0" w:color="auto"/>
                              </w:divBdr>
                              <w:divsChild>
                                <w:div w:id="236717375">
                                  <w:marLeft w:val="0"/>
                                  <w:marRight w:val="0"/>
                                  <w:marTop w:val="0"/>
                                  <w:marBottom w:val="0"/>
                                  <w:divBdr>
                                    <w:top w:val="none" w:sz="0" w:space="0" w:color="auto"/>
                                    <w:left w:val="none" w:sz="0" w:space="0" w:color="auto"/>
                                    <w:bottom w:val="none" w:sz="0" w:space="0" w:color="auto"/>
                                    <w:right w:val="none" w:sz="0" w:space="0" w:color="auto"/>
                                  </w:divBdr>
                                  <w:divsChild>
                                    <w:div w:id="1591037711">
                                      <w:marLeft w:val="0"/>
                                      <w:marRight w:val="0"/>
                                      <w:marTop w:val="0"/>
                                      <w:marBottom w:val="0"/>
                                      <w:divBdr>
                                        <w:top w:val="none" w:sz="0" w:space="0" w:color="auto"/>
                                        <w:left w:val="none" w:sz="0" w:space="0" w:color="auto"/>
                                        <w:bottom w:val="none" w:sz="0" w:space="0" w:color="auto"/>
                                        <w:right w:val="none" w:sz="0" w:space="0" w:color="auto"/>
                                      </w:divBdr>
                                      <w:divsChild>
                                        <w:div w:id="913514554">
                                          <w:marLeft w:val="0"/>
                                          <w:marRight w:val="0"/>
                                          <w:marTop w:val="0"/>
                                          <w:marBottom w:val="0"/>
                                          <w:divBdr>
                                            <w:top w:val="none" w:sz="0" w:space="0" w:color="auto"/>
                                            <w:left w:val="none" w:sz="0" w:space="0" w:color="auto"/>
                                            <w:bottom w:val="none" w:sz="0" w:space="0" w:color="auto"/>
                                            <w:right w:val="none" w:sz="0" w:space="0" w:color="auto"/>
                                          </w:divBdr>
                                          <w:divsChild>
                                            <w:div w:id="864253441">
                                              <w:marLeft w:val="0"/>
                                              <w:marRight w:val="0"/>
                                              <w:marTop w:val="0"/>
                                              <w:marBottom w:val="0"/>
                                              <w:divBdr>
                                                <w:top w:val="none" w:sz="0" w:space="0" w:color="auto"/>
                                                <w:left w:val="none" w:sz="0" w:space="0" w:color="auto"/>
                                                <w:bottom w:val="none" w:sz="0" w:space="0" w:color="auto"/>
                                                <w:right w:val="none" w:sz="0" w:space="0" w:color="auto"/>
                                              </w:divBdr>
                                              <w:divsChild>
                                                <w:div w:id="381028764">
                                                  <w:marLeft w:val="0"/>
                                                  <w:marRight w:val="0"/>
                                                  <w:marTop w:val="0"/>
                                                  <w:marBottom w:val="0"/>
                                                  <w:divBdr>
                                                    <w:top w:val="none" w:sz="0" w:space="0" w:color="auto"/>
                                                    <w:left w:val="none" w:sz="0" w:space="0" w:color="auto"/>
                                                    <w:bottom w:val="none" w:sz="0" w:space="0" w:color="auto"/>
                                                    <w:right w:val="none" w:sz="0" w:space="0" w:color="auto"/>
                                                  </w:divBdr>
                                                  <w:divsChild>
                                                    <w:div w:id="1505820926">
                                                      <w:marLeft w:val="0"/>
                                                      <w:marRight w:val="0"/>
                                                      <w:marTop w:val="0"/>
                                                      <w:marBottom w:val="0"/>
                                                      <w:divBdr>
                                                        <w:top w:val="none" w:sz="0" w:space="0" w:color="auto"/>
                                                        <w:left w:val="none" w:sz="0" w:space="0" w:color="auto"/>
                                                        <w:bottom w:val="none" w:sz="0" w:space="0" w:color="auto"/>
                                                        <w:right w:val="none" w:sz="0" w:space="0" w:color="auto"/>
                                                      </w:divBdr>
                                                      <w:divsChild>
                                                        <w:div w:id="945698302">
                                                          <w:marLeft w:val="0"/>
                                                          <w:marRight w:val="0"/>
                                                          <w:marTop w:val="0"/>
                                                          <w:marBottom w:val="0"/>
                                                          <w:divBdr>
                                                            <w:top w:val="none" w:sz="0" w:space="0" w:color="auto"/>
                                                            <w:left w:val="none" w:sz="0" w:space="0" w:color="auto"/>
                                                            <w:bottom w:val="none" w:sz="0" w:space="0" w:color="auto"/>
                                                            <w:right w:val="none" w:sz="0" w:space="0" w:color="auto"/>
                                                          </w:divBdr>
                                                          <w:divsChild>
                                                            <w:div w:id="1757359712">
                                                              <w:marLeft w:val="0"/>
                                                              <w:marRight w:val="0"/>
                                                              <w:marTop w:val="0"/>
                                                              <w:marBottom w:val="0"/>
                                                              <w:divBdr>
                                                                <w:top w:val="none" w:sz="0" w:space="0" w:color="auto"/>
                                                                <w:left w:val="none" w:sz="0" w:space="0" w:color="auto"/>
                                                                <w:bottom w:val="none" w:sz="0" w:space="0" w:color="auto"/>
                                                                <w:right w:val="none" w:sz="0" w:space="0" w:color="auto"/>
                                                              </w:divBdr>
                                                              <w:divsChild>
                                                                <w:div w:id="11376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206338">
      <w:bodyDiv w:val="1"/>
      <w:marLeft w:val="0"/>
      <w:marRight w:val="0"/>
      <w:marTop w:val="0"/>
      <w:marBottom w:val="0"/>
      <w:divBdr>
        <w:top w:val="none" w:sz="0" w:space="0" w:color="auto"/>
        <w:left w:val="none" w:sz="0" w:space="0" w:color="auto"/>
        <w:bottom w:val="none" w:sz="0" w:space="0" w:color="auto"/>
        <w:right w:val="none" w:sz="0" w:space="0" w:color="auto"/>
      </w:divBdr>
    </w:div>
    <w:div w:id="38477349">
      <w:bodyDiv w:val="1"/>
      <w:marLeft w:val="0"/>
      <w:marRight w:val="0"/>
      <w:marTop w:val="0"/>
      <w:marBottom w:val="0"/>
      <w:divBdr>
        <w:top w:val="none" w:sz="0" w:space="0" w:color="auto"/>
        <w:left w:val="none" w:sz="0" w:space="0" w:color="auto"/>
        <w:bottom w:val="none" w:sz="0" w:space="0" w:color="auto"/>
        <w:right w:val="none" w:sz="0" w:space="0" w:color="auto"/>
      </w:divBdr>
    </w:div>
    <w:div w:id="50160137">
      <w:bodyDiv w:val="1"/>
      <w:marLeft w:val="0"/>
      <w:marRight w:val="0"/>
      <w:marTop w:val="0"/>
      <w:marBottom w:val="0"/>
      <w:divBdr>
        <w:top w:val="none" w:sz="0" w:space="0" w:color="auto"/>
        <w:left w:val="none" w:sz="0" w:space="0" w:color="auto"/>
        <w:bottom w:val="none" w:sz="0" w:space="0" w:color="auto"/>
        <w:right w:val="none" w:sz="0" w:space="0" w:color="auto"/>
      </w:divBdr>
    </w:div>
    <w:div w:id="58943829">
      <w:bodyDiv w:val="1"/>
      <w:marLeft w:val="0"/>
      <w:marRight w:val="0"/>
      <w:marTop w:val="0"/>
      <w:marBottom w:val="0"/>
      <w:divBdr>
        <w:top w:val="none" w:sz="0" w:space="0" w:color="auto"/>
        <w:left w:val="none" w:sz="0" w:space="0" w:color="auto"/>
        <w:bottom w:val="none" w:sz="0" w:space="0" w:color="auto"/>
        <w:right w:val="none" w:sz="0" w:space="0" w:color="auto"/>
      </w:divBdr>
    </w:div>
    <w:div w:id="60099851">
      <w:bodyDiv w:val="1"/>
      <w:marLeft w:val="0"/>
      <w:marRight w:val="0"/>
      <w:marTop w:val="0"/>
      <w:marBottom w:val="0"/>
      <w:divBdr>
        <w:top w:val="none" w:sz="0" w:space="0" w:color="auto"/>
        <w:left w:val="none" w:sz="0" w:space="0" w:color="auto"/>
        <w:bottom w:val="none" w:sz="0" w:space="0" w:color="auto"/>
        <w:right w:val="none" w:sz="0" w:space="0" w:color="auto"/>
      </w:divBdr>
    </w:div>
    <w:div w:id="66198457">
      <w:bodyDiv w:val="1"/>
      <w:marLeft w:val="0"/>
      <w:marRight w:val="0"/>
      <w:marTop w:val="0"/>
      <w:marBottom w:val="0"/>
      <w:divBdr>
        <w:top w:val="none" w:sz="0" w:space="0" w:color="auto"/>
        <w:left w:val="none" w:sz="0" w:space="0" w:color="auto"/>
        <w:bottom w:val="none" w:sz="0" w:space="0" w:color="auto"/>
        <w:right w:val="none" w:sz="0" w:space="0" w:color="auto"/>
      </w:divBdr>
      <w:divsChild>
        <w:div w:id="1689673942">
          <w:marLeft w:val="0"/>
          <w:marRight w:val="0"/>
          <w:marTop w:val="0"/>
          <w:marBottom w:val="0"/>
          <w:divBdr>
            <w:top w:val="none" w:sz="0" w:space="0" w:color="auto"/>
            <w:left w:val="none" w:sz="0" w:space="0" w:color="auto"/>
            <w:bottom w:val="none" w:sz="0" w:space="0" w:color="auto"/>
            <w:right w:val="none" w:sz="0" w:space="0" w:color="auto"/>
          </w:divBdr>
          <w:divsChild>
            <w:div w:id="1813326670">
              <w:marLeft w:val="0"/>
              <w:marRight w:val="0"/>
              <w:marTop w:val="0"/>
              <w:marBottom w:val="0"/>
              <w:divBdr>
                <w:top w:val="none" w:sz="0" w:space="0" w:color="auto"/>
                <w:left w:val="none" w:sz="0" w:space="0" w:color="auto"/>
                <w:bottom w:val="none" w:sz="0" w:space="0" w:color="auto"/>
                <w:right w:val="none" w:sz="0" w:space="0" w:color="auto"/>
              </w:divBdr>
              <w:divsChild>
                <w:div w:id="942803114">
                  <w:marLeft w:val="0"/>
                  <w:marRight w:val="0"/>
                  <w:marTop w:val="0"/>
                  <w:marBottom w:val="0"/>
                  <w:divBdr>
                    <w:top w:val="none" w:sz="0" w:space="0" w:color="auto"/>
                    <w:left w:val="none" w:sz="0" w:space="0" w:color="auto"/>
                    <w:bottom w:val="none" w:sz="0" w:space="0" w:color="auto"/>
                    <w:right w:val="none" w:sz="0" w:space="0" w:color="auto"/>
                  </w:divBdr>
                  <w:divsChild>
                    <w:div w:id="1146237513">
                      <w:marLeft w:val="0"/>
                      <w:marRight w:val="0"/>
                      <w:marTop w:val="0"/>
                      <w:marBottom w:val="0"/>
                      <w:divBdr>
                        <w:top w:val="none" w:sz="0" w:space="0" w:color="auto"/>
                        <w:left w:val="none" w:sz="0" w:space="0" w:color="auto"/>
                        <w:bottom w:val="none" w:sz="0" w:space="0" w:color="auto"/>
                        <w:right w:val="none" w:sz="0" w:space="0" w:color="auto"/>
                      </w:divBdr>
                      <w:divsChild>
                        <w:div w:id="1136220608">
                          <w:marLeft w:val="0"/>
                          <w:marRight w:val="0"/>
                          <w:marTop w:val="0"/>
                          <w:marBottom w:val="0"/>
                          <w:divBdr>
                            <w:top w:val="none" w:sz="0" w:space="0" w:color="auto"/>
                            <w:left w:val="none" w:sz="0" w:space="0" w:color="auto"/>
                            <w:bottom w:val="none" w:sz="0" w:space="0" w:color="auto"/>
                            <w:right w:val="none" w:sz="0" w:space="0" w:color="auto"/>
                          </w:divBdr>
                          <w:divsChild>
                            <w:div w:id="12477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10157">
      <w:bodyDiv w:val="1"/>
      <w:marLeft w:val="0"/>
      <w:marRight w:val="0"/>
      <w:marTop w:val="0"/>
      <w:marBottom w:val="0"/>
      <w:divBdr>
        <w:top w:val="none" w:sz="0" w:space="0" w:color="auto"/>
        <w:left w:val="none" w:sz="0" w:space="0" w:color="auto"/>
        <w:bottom w:val="none" w:sz="0" w:space="0" w:color="auto"/>
        <w:right w:val="none" w:sz="0" w:space="0" w:color="auto"/>
      </w:divBdr>
    </w:div>
    <w:div w:id="94568611">
      <w:marLeft w:val="0"/>
      <w:marRight w:val="0"/>
      <w:marTop w:val="0"/>
      <w:marBottom w:val="0"/>
      <w:divBdr>
        <w:top w:val="none" w:sz="0" w:space="0" w:color="auto"/>
        <w:left w:val="none" w:sz="0" w:space="0" w:color="auto"/>
        <w:bottom w:val="none" w:sz="0" w:space="0" w:color="auto"/>
        <w:right w:val="none" w:sz="0" w:space="0" w:color="auto"/>
      </w:divBdr>
      <w:divsChild>
        <w:div w:id="294533143">
          <w:marLeft w:val="0"/>
          <w:marRight w:val="0"/>
          <w:marTop w:val="0"/>
          <w:marBottom w:val="0"/>
          <w:divBdr>
            <w:top w:val="none" w:sz="0" w:space="0" w:color="auto"/>
            <w:left w:val="none" w:sz="0" w:space="0" w:color="auto"/>
            <w:bottom w:val="none" w:sz="0" w:space="0" w:color="auto"/>
            <w:right w:val="none" w:sz="0" w:space="0" w:color="auto"/>
          </w:divBdr>
          <w:divsChild>
            <w:div w:id="305818011">
              <w:marLeft w:val="0"/>
              <w:marRight w:val="0"/>
              <w:marTop w:val="0"/>
              <w:marBottom w:val="0"/>
              <w:divBdr>
                <w:top w:val="none" w:sz="0" w:space="0" w:color="auto"/>
                <w:left w:val="none" w:sz="0" w:space="0" w:color="auto"/>
                <w:bottom w:val="none" w:sz="0" w:space="0" w:color="auto"/>
                <w:right w:val="none" w:sz="0" w:space="0" w:color="auto"/>
              </w:divBdr>
            </w:div>
          </w:divsChild>
        </w:div>
        <w:div w:id="789208451">
          <w:marLeft w:val="0"/>
          <w:marRight w:val="0"/>
          <w:marTop w:val="0"/>
          <w:marBottom w:val="0"/>
          <w:divBdr>
            <w:top w:val="none" w:sz="0" w:space="0" w:color="auto"/>
            <w:left w:val="none" w:sz="0" w:space="0" w:color="auto"/>
            <w:bottom w:val="none" w:sz="0" w:space="0" w:color="auto"/>
            <w:right w:val="none" w:sz="0" w:space="0" w:color="auto"/>
          </w:divBdr>
          <w:divsChild>
            <w:div w:id="855726604">
              <w:marLeft w:val="0"/>
              <w:marRight w:val="0"/>
              <w:marTop w:val="0"/>
              <w:marBottom w:val="0"/>
              <w:divBdr>
                <w:top w:val="none" w:sz="0" w:space="0" w:color="auto"/>
                <w:left w:val="none" w:sz="0" w:space="0" w:color="auto"/>
                <w:bottom w:val="none" w:sz="0" w:space="0" w:color="auto"/>
                <w:right w:val="none" w:sz="0" w:space="0" w:color="auto"/>
              </w:divBdr>
              <w:divsChild>
                <w:div w:id="505751166">
                  <w:marLeft w:val="0"/>
                  <w:marRight w:val="0"/>
                  <w:marTop w:val="0"/>
                  <w:marBottom w:val="0"/>
                  <w:divBdr>
                    <w:top w:val="none" w:sz="0" w:space="0" w:color="auto"/>
                    <w:left w:val="none" w:sz="0" w:space="0" w:color="auto"/>
                    <w:bottom w:val="none" w:sz="0" w:space="0" w:color="auto"/>
                    <w:right w:val="none" w:sz="0" w:space="0" w:color="auto"/>
                  </w:divBdr>
                  <w:divsChild>
                    <w:div w:id="13955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9831">
      <w:bodyDiv w:val="1"/>
      <w:marLeft w:val="0"/>
      <w:marRight w:val="0"/>
      <w:marTop w:val="0"/>
      <w:marBottom w:val="0"/>
      <w:divBdr>
        <w:top w:val="none" w:sz="0" w:space="0" w:color="auto"/>
        <w:left w:val="none" w:sz="0" w:space="0" w:color="auto"/>
        <w:bottom w:val="none" w:sz="0" w:space="0" w:color="auto"/>
        <w:right w:val="none" w:sz="0" w:space="0" w:color="auto"/>
      </w:divBdr>
    </w:div>
    <w:div w:id="97801768">
      <w:marLeft w:val="0"/>
      <w:marRight w:val="0"/>
      <w:marTop w:val="0"/>
      <w:marBottom w:val="0"/>
      <w:divBdr>
        <w:top w:val="none" w:sz="0" w:space="0" w:color="auto"/>
        <w:left w:val="none" w:sz="0" w:space="0" w:color="auto"/>
        <w:bottom w:val="none" w:sz="0" w:space="0" w:color="auto"/>
        <w:right w:val="none" w:sz="0" w:space="0" w:color="auto"/>
      </w:divBdr>
    </w:div>
    <w:div w:id="99037569">
      <w:bodyDiv w:val="1"/>
      <w:marLeft w:val="0"/>
      <w:marRight w:val="0"/>
      <w:marTop w:val="0"/>
      <w:marBottom w:val="0"/>
      <w:divBdr>
        <w:top w:val="none" w:sz="0" w:space="0" w:color="auto"/>
        <w:left w:val="none" w:sz="0" w:space="0" w:color="auto"/>
        <w:bottom w:val="none" w:sz="0" w:space="0" w:color="auto"/>
        <w:right w:val="none" w:sz="0" w:space="0" w:color="auto"/>
      </w:divBdr>
      <w:divsChild>
        <w:div w:id="1441144230">
          <w:marLeft w:val="0"/>
          <w:marRight w:val="0"/>
          <w:marTop w:val="0"/>
          <w:marBottom w:val="0"/>
          <w:divBdr>
            <w:top w:val="none" w:sz="0" w:space="0" w:color="auto"/>
            <w:left w:val="none" w:sz="0" w:space="0" w:color="auto"/>
            <w:bottom w:val="none" w:sz="0" w:space="0" w:color="auto"/>
            <w:right w:val="none" w:sz="0" w:space="0" w:color="auto"/>
          </w:divBdr>
          <w:divsChild>
            <w:div w:id="225073584">
              <w:marLeft w:val="0"/>
              <w:marRight w:val="0"/>
              <w:marTop w:val="0"/>
              <w:marBottom w:val="0"/>
              <w:divBdr>
                <w:top w:val="none" w:sz="0" w:space="0" w:color="auto"/>
                <w:left w:val="none" w:sz="0" w:space="0" w:color="auto"/>
                <w:bottom w:val="none" w:sz="0" w:space="0" w:color="auto"/>
                <w:right w:val="none" w:sz="0" w:space="0" w:color="auto"/>
              </w:divBdr>
              <w:divsChild>
                <w:div w:id="405803583">
                  <w:marLeft w:val="0"/>
                  <w:marRight w:val="0"/>
                  <w:marTop w:val="0"/>
                  <w:marBottom w:val="0"/>
                  <w:divBdr>
                    <w:top w:val="none" w:sz="0" w:space="0" w:color="auto"/>
                    <w:left w:val="none" w:sz="0" w:space="0" w:color="auto"/>
                    <w:bottom w:val="none" w:sz="0" w:space="0" w:color="auto"/>
                    <w:right w:val="none" w:sz="0" w:space="0" w:color="auto"/>
                  </w:divBdr>
                  <w:divsChild>
                    <w:div w:id="534854651">
                      <w:marLeft w:val="0"/>
                      <w:marRight w:val="0"/>
                      <w:marTop w:val="0"/>
                      <w:marBottom w:val="0"/>
                      <w:divBdr>
                        <w:top w:val="none" w:sz="0" w:space="0" w:color="auto"/>
                        <w:left w:val="none" w:sz="0" w:space="0" w:color="auto"/>
                        <w:bottom w:val="none" w:sz="0" w:space="0" w:color="auto"/>
                        <w:right w:val="none" w:sz="0" w:space="0" w:color="auto"/>
                      </w:divBdr>
                      <w:divsChild>
                        <w:div w:id="1156458426">
                          <w:marLeft w:val="0"/>
                          <w:marRight w:val="0"/>
                          <w:marTop w:val="0"/>
                          <w:marBottom w:val="0"/>
                          <w:divBdr>
                            <w:top w:val="none" w:sz="0" w:space="0" w:color="auto"/>
                            <w:left w:val="none" w:sz="0" w:space="0" w:color="auto"/>
                            <w:bottom w:val="none" w:sz="0" w:space="0" w:color="auto"/>
                            <w:right w:val="none" w:sz="0" w:space="0" w:color="auto"/>
                          </w:divBdr>
                          <w:divsChild>
                            <w:div w:id="35940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66458">
      <w:bodyDiv w:val="1"/>
      <w:marLeft w:val="0"/>
      <w:marRight w:val="0"/>
      <w:marTop w:val="0"/>
      <w:marBottom w:val="0"/>
      <w:divBdr>
        <w:top w:val="none" w:sz="0" w:space="0" w:color="auto"/>
        <w:left w:val="none" w:sz="0" w:space="0" w:color="auto"/>
        <w:bottom w:val="none" w:sz="0" w:space="0" w:color="auto"/>
        <w:right w:val="none" w:sz="0" w:space="0" w:color="auto"/>
      </w:divBdr>
    </w:div>
    <w:div w:id="104808796">
      <w:bodyDiv w:val="1"/>
      <w:marLeft w:val="0"/>
      <w:marRight w:val="0"/>
      <w:marTop w:val="0"/>
      <w:marBottom w:val="0"/>
      <w:divBdr>
        <w:top w:val="none" w:sz="0" w:space="0" w:color="auto"/>
        <w:left w:val="none" w:sz="0" w:space="0" w:color="auto"/>
        <w:bottom w:val="none" w:sz="0" w:space="0" w:color="auto"/>
        <w:right w:val="none" w:sz="0" w:space="0" w:color="auto"/>
      </w:divBdr>
    </w:div>
    <w:div w:id="109670506">
      <w:bodyDiv w:val="1"/>
      <w:marLeft w:val="0"/>
      <w:marRight w:val="0"/>
      <w:marTop w:val="0"/>
      <w:marBottom w:val="0"/>
      <w:divBdr>
        <w:top w:val="none" w:sz="0" w:space="0" w:color="auto"/>
        <w:left w:val="none" w:sz="0" w:space="0" w:color="auto"/>
        <w:bottom w:val="none" w:sz="0" w:space="0" w:color="auto"/>
        <w:right w:val="none" w:sz="0" w:space="0" w:color="auto"/>
      </w:divBdr>
    </w:div>
    <w:div w:id="115178684">
      <w:bodyDiv w:val="1"/>
      <w:marLeft w:val="0"/>
      <w:marRight w:val="0"/>
      <w:marTop w:val="0"/>
      <w:marBottom w:val="0"/>
      <w:divBdr>
        <w:top w:val="none" w:sz="0" w:space="0" w:color="auto"/>
        <w:left w:val="none" w:sz="0" w:space="0" w:color="auto"/>
        <w:bottom w:val="none" w:sz="0" w:space="0" w:color="auto"/>
        <w:right w:val="none" w:sz="0" w:space="0" w:color="auto"/>
      </w:divBdr>
    </w:div>
    <w:div w:id="117188611">
      <w:marLeft w:val="0"/>
      <w:marRight w:val="0"/>
      <w:marTop w:val="0"/>
      <w:marBottom w:val="0"/>
      <w:divBdr>
        <w:top w:val="none" w:sz="0" w:space="0" w:color="auto"/>
        <w:left w:val="none" w:sz="0" w:space="0" w:color="auto"/>
        <w:bottom w:val="none" w:sz="0" w:space="0" w:color="auto"/>
        <w:right w:val="none" w:sz="0" w:space="0" w:color="auto"/>
      </w:divBdr>
    </w:div>
    <w:div w:id="126558464">
      <w:bodyDiv w:val="1"/>
      <w:marLeft w:val="0"/>
      <w:marRight w:val="0"/>
      <w:marTop w:val="0"/>
      <w:marBottom w:val="0"/>
      <w:divBdr>
        <w:top w:val="none" w:sz="0" w:space="0" w:color="auto"/>
        <w:left w:val="none" w:sz="0" w:space="0" w:color="auto"/>
        <w:bottom w:val="none" w:sz="0" w:space="0" w:color="auto"/>
        <w:right w:val="none" w:sz="0" w:space="0" w:color="auto"/>
      </w:divBdr>
    </w:div>
    <w:div w:id="140930923">
      <w:bodyDiv w:val="1"/>
      <w:marLeft w:val="0"/>
      <w:marRight w:val="0"/>
      <w:marTop w:val="0"/>
      <w:marBottom w:val="0"/>
      <w:divBdr>
        <w:top w:val="none" w:sz="0" w:space="0" w:color="auto"/>
        <w:left w:val="none" w:sz="0" w:space="0" w:color="auto"/>
        <w:bottom w:val="none" w:sz="0" w:space="0" w:color="auto"/>
        <w:right w:val="none" w:sz="0" w:space="0" w:color="auto"/>
      </w:divBdr>
    </w:div>
    <w:div w:id="141971200">
      <w:bodyDiv w:val="1"/>
      <w:marLeft w:val="0"/>
      <w:marRight w:val="0"/>
      <w:marTop w:val="0"/>
      <w:marBottom w:val="0"/>
      <w:divBdr>
        <w:top w:val="none" w:sz="0" w:space="0" w:color="auto"/>
        <w:left w:val="none" w:sz="0" w:space="0" w:color="auto"/>
        <w:bottom w:val="none" w:sz="0" w:space="0" w:color="auto"/>
        <w:right w:val="none" w:sz="0" w:space="0" w:color="auto"/>
      </w:divBdr>
    </w:div>
    <w:div w:id="160004443">
      <w:bodyDiv w:val="1"/>
      <w:marLeft w:val="0"/>
      <w:marRight w:val="0"/>
      <w:marTop w:val="0"/>
      <w:marBottom w:val="0"/>
      <w:divBdr>
        <w:top w:val="none" w:sz="0" w:space="0" w:color="auto"/>
        <w:left w:val="none" w:sz="0" w:space="0" w:color="auto"/>
        <w:bottom w:val="none" w:sz="0" w:space="0" w:color="auto"/>
        <w:right w:val="none" w:sz="0" w:space="0" w:color="auto"/>
      </w:divBdr>
      <w:divsChild>
        <w:div w:id="2008709116">
          <w:marLeft w:val="0"/>
          <w:marRight w:val="0"/>
          <w:marTop w:val="0"/>
          <w:marBottom w:val="0"/>
          <w:divBdr>
            <w:top w:val="none" w:sz="0" w:space="0" w:color="auto"/>
            <w:left w:val="none" w:sz="0" w:space="0" w:color="auto"/>
            <w:bottom w:val="none" w:sz="0" w:space="0" w:color="auto"/>
            <w:right w:val="none" w:sz="0" w:space="0" w:color="auto"/>
          </w:divBdr>
          <w:divsChild>
            <w:div w:id="7572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0083">
      <w:marLeft w:val="0"/>
      <w:marRight w:val="0"/>
      <w:marTop w:val="0"/>
      <w:marBottom w:val="0"/>
      <w:divBdr>
        <w:top w:val="none" w:sz="0" w:space="0" w:color="auto"/>
        <w:left w:val="none" w:sz="0" w:space="0" w:color="auto"/>
        <w:bottom w:val="none" w:sz="0" w:space="0" w:color="auto"/>
        <w:right w:val="none" w:sz="0" w:space="0" w:color="auto"/>
      </w:divBdr>
    </w:div>
    <w:div w:id="160852326">
      <w:bodyDiv w:val="1"/>
      <w:marLeft w:val="0"/>
      <w:marRight w:val="0"/>
      <w:marTop w:val="0"/>
      <w:marBottom w:val="0"/>
      <w:divBdr>
        <w:top w:val="none" w:sz="0" w:space="0" w:color="auto"/>
        <w:left w:val="none" w:sz="0" w:space="0" w:color="auto"/>
        <w:bottom w:val="none" w:sz="0" w:space="0" w:color="auto"/>
        <w:right w:val="none" w:sz="0" w:space="0" w:color="auto"/>
      </w:divBdr>
    </w:div>
    <w:div w:id="169226704">
      <w:bodyDiv w:val="1"/>
      <w:marLeft w:val="0"/>
      <w:marRight w:val="0"/>
      <w:marTop w:val="0"/>
      <w:marBottom w:val="0"/>
      <w:divBdr>
        <w:top w:val="none" w:sz="0" w:space="0" w:color="auto"/>
        <w:left w:val="none" w:sz="0" w:space="0" w:color="auto"/>
        <w:bottom w:val="none" w:sz="0" w:space="0" w:color="auto"/>
        <w:right w:val="none" w:sz="0" w:space="0" w:color="auto"/>
      </w:divBdr>
    </w:div>
    <w:div w:id="171654382">
      <w:bodyDiv w:val="1"/>
      <w:marLeft w:val="0"/>
      <w:marRight w:val="0"/>
      <w:marTop w:val="0"/>
      <w:marBottom w:val="0"/>
      <w:divBdr>
        <w:top w:val="none" w:sz="0" w:space="0" w:color="auto"/>
        <w:left w:val="none" w:sz="0" w:space="0" w:color="auto"/>
        <w:bottom w:val="none" w:sz="0" w:space="0" w:color="auto"/>
        <w:right w:val="none" w:sz="0" w:space="0" w:color="auto"/>
      </w:divBdr>
    </w:div>
    <w:div w:id="178810742">
      <w:bodyDiv w:val="1"/>
      <w:marLeft w:val="0"/>
      <w:marRight w:val="0"/>
      <w:marTop w:val="0"/>
      <w:marBottom w:val="0"/>
      <w:divBdr>
        <w:top w:val="none" w:sz="0" w:space="0" w:color="auto"/>
        <w:left w:val="none" w:sz="0" w:space="0" w:color="auto"/>
        <w:bottom w:val="none" w:sz="0" w:space="0" w:color="auto"/>
        <w:right w:val="none" w:sz="0" w:space="0" w:color="auto"/>
      </w:divBdr>
      <w:divsChild>
        <w:div w:id="1951542209">
          <w:marLeft w:val="0"/>
          <w:marRight w:val="0"/>
          <w:marTop w:val="0"/>
          <w:marBottom w:val="0"/>
          <w:divBdr>
            <w:top w:val="none" w:sz="0" w:space="0" w:color="auto"/>
            <w:left w:val="none" w:sz="0" w:space="0" w:color="auto"/>
            <w:bottom w:val="none" w:sz="0" w:space="0" w:color="auto"/>
            <w:right w:val="none" w:sz="0" w:space="0" w:color="auto"/>
          </w:divBdr>
          <w:divsChild>
            <w:div w:id="696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0701">
      <w:bodyDiv w:val="1"/>
      <w:marLeft w:val="0"/>
      <w:marRight w:val="0"/>
      <w:marTop w:val="0"/>
      <w:marBottom w:val="0"/>
      <w:divBdr>
        <w:top w:val="none" w:sz="0" w:space="0" w:color="auto"/>
        <w:left w:val="none" w:sz="0" w:space="0" w:color="auto"/>
        <w:bottom w:val="none" w:sz="0" w:space="0" w:color="auto"/>
        <w:right w:val="none" w:sz="0" w:space="0" w:color="auto"/>
      </w:divBdr>
    </w:div>
    <w:div w:id="189688636">
      <w:bodyDiv w:val="1"/>
      <w:marLeft w:val="0"/>
      <w:marRight w:val="0"/>
      <w:marTop w:val="0"/>
      <w:marBottom w:val="0"/>
      <w:divBdr>
        <w:top w:val="none" w:sz="0" w:space="0" w:color="auto"/>
        <w:left w:val="none" w:sz="0" w:space="0" w:color="auto"/>
        <w:bottom w:val="none" w:sz="0" w:space="0" w:color="auto"/>
        <w:right w:val="none" w:sz="0" w:space="0" w:color="auto"/>
      </w:divBdr>
    </w:div>
    <w:div w:id="194195714">
      <w:bodyDiv w:val="1"/>
      <w:marLeft w:val="0"/>
      <w:marRight w:val="0"/>
      <w:marTop w:val="0"/>
      <w:marBottom w:val="0"/>
      <w:divBdr>
        <w:top w:val="none" w:sz="0" w:space="0" w:color="auto"/>
        <w:left w:val="none" w:sz="0" w:space="0" w:color="auto"/>
        <w:bottom w:val="none" w:sz="0" w:space="0" w:color="auto"/>
        <w:right w:val="none" w:sz="0" w:space="0" w:color="auto"/>
      </w:divBdr>
    </w:div>
    <w:div w:id="194344745">
      <w:bodyDiv w:val="1"/>
      <w:marLeft w:val="0"/>
      <w:marRight w:val="0"/>
      <w:marTop w:val="0"/>
      <w:marBottom w:val="0"/>
      <w:divBdr>
        <w:top w:val="none" w:sz="0" w:space="0" w:color="auto"/>
        <w:left w:val="none" w:sz="0" w:space="0" w:color="auto"/>
        <w:bottom w:val="none" w:sz="0" w:space="0" w:color="auto"/>
        <w:right w:val="none" w:sz="0" w:space="0" w:color="auto"/>
      </w:divBdr>
      <w:divsChild>
        <w:div w:id="286400051">
          <w:marLeft w:val="0"/>
          <w:marRight w:val="0"/>
          <w:marTop w:val="0"/>
          <w:marBottom w:val="0"/>
          <w:divBdr>
            <w:top w:val="none" w:sz="0" w:space="0" w:color="auto"/>
            <w:left w:val="none" w:sz="0" w:space="0" w:color="auto"/>
            <w:bottom w:val="none" w:sz="0" w:space="0" w:color="auto"/>
            <w:right w:val="none" w:sz="0" w:space="0" w:color="auto"/>
          </w:divBdr>
        </w:div>
      </w:divsChild>
    </w:div>
    <w:div w:id="196358784">
      <w:bodyDiv w:val="1"/>
      <w:marLeft w:val="0"/>
      <w:marRight w:val="0"/>
      <w:marTop w:val="0"/>
      <w:marBottom w:val="0"/>
      <w:divBdr>
        <w:top w:val="none" w:sz="0" w:space="0" w:color="auto"/>
        <w:left w:val="none" w:sz="0" w:space="0" w:color="auto"/>
        <w:bottom w:val="none" w:sz="0" w:space="0" w:color="auto"/>
        <w:right w:val="none" w:sz="0" w:space="0" w:color="auto"/>
      </w:divBdr>
    </w:div>
    <w:div w:id="201527158">
      <w:bodyDiv w:val="1"/>
      <w:marLeft w:val="0"/>
      <w:marRight w:val="0"/>
      <w:marTop w:val="0"/>
      <w:marBottom w:val="0"/>
      <w:divBdr>
        <w:top w:val="none" w:sz="0" w:space="0" w:color="auto"/>
        <w:left w:val="none" w:sz="0" w:space="0" w:color="auto"/>
        <w:bottom w:val="none" w:sz="0" w:space="0" w:color="auto"/>
        <w:right w:val="none" w:sz="0" w:space="0" w:color="auto"/>
      </w:divBdr>
    </w:div>
    <w:div w:id="204176324">
      <w:bodyDiv w:val="1"/>
      <w:marLeft w:val="0"/>
      <w:marRight w:val="0"/>
      <w:marTop w:val="0"/>
      <w:marBottom w:val="0"/>
      <w:divBdr>
        <w:top w:val="none" w:sz="0" w:space="0" w:color="auto"/>
        <w:left w:val="none" w:sz="0" w:space="0" w:color="auto"/>
        <w:bottom w:val="none" w:sz="0" w:space="0" w:color="auto"/>
        <w:right w:val="none" w:sz="0" w:space="0" w:color="auto"/>
      </w:divBdr>
      <w:divsChild>
        <w:div w:id="1234504675">
          <w:marLeft w:val="0"/>
          <w:marRight w:val="0"/>
          <w:marTop w:val="0"/>
          <w:marBottom w:val="0"/>
          <w:divBdr>
            <w:top w:val="none" w:sz="0" w:space="0" w:color="auto"/>
            <w:left w:val="none" w:sz="0" w:space="0" w:color="auto"/>
            <w:bottom w:val="none" w:sz="0" w:space="0" w:color="auto"/>
            <w:right w:val="none" w:sz="0" w:space="0" w:color="auto"/>
          </w:divBdr>
          <w:divsChild>
            <w:div w:id="973027807">
              <w:marLeft w:val="0"/>
              <w:marRight w:val="0"/>
              <w:marTop w:val="0"/>
              <w:marBottom w:val="0"/>
              <w:divBdr>
                <w:top w:val="none" w:sz="0" w:space="0" w:color="auto"/>
                <w:left w:val="none" w:sz="0" w:space="0" w:color="auto"/>
                <w:bottom w:val="none" w:sz="0" w:space="0" w:color="auto"/>
                <w:right w:val="none" w:sz="0" w:space="0" w:color="auto"/>
              </w:divBdr>
              <w:divsChild>
                <w:div w:id="1074008093">
                  <w:marLeft w:val="0"/>
                  <w:marRight w:val="0"/>
                  <w:marTop w:val="0"/>
                  <w:marBottom w:val="0"/>
                  <w:divBdr>
                    <w:top w:val="none" w:sz="0" w:space="0" w:color="auto"/>
                    <w:left w:val="none" w:sz="0" w:space="0" w:color="auto"/>
                    <w:bottom w:val="none" w:sz="0" w:space="0" w:color="auto"/>
                    <w:right w:val="none" w:sz="0" w:space="0" w:color="auto"/>
                  </w:divBdr>
                  <w:divsChild>
                    <w:div w:id="629481399">
                      <w:marLeft w:val="0"/>
                      <w:marRight w:val="0"/>
                      <w:marTop w:val="0"/>
                      <w:marBottom w:val="0"/>
                      <w:divBdr>
                        <w:top w:val="none" w:sz="0" w:space="0" w:color="auto"/>
                        <w:left w:val="none" w:sz="0" w:space="0" w:color="auto"/>
                        <w:bottom w:val="none" w:sz="0" w:space="0" w:color="auto"/>
                        <w:right w:val="none" w:sz="0" w:space="0" w:color="auto"/>
                      </w:divBdr>
                      <w:divsChild>
                        <w:div w:id="1653559219">
                          <w:marLeft w:val="0"/>
                          <w:marRight w:val="0"/>
                          <w:marTop w:val="0"/>
                          <w:marBottom w:val="0"/>
                          <w:divBdr>
                            <w:top w:val="none" w:sz="0" w:space="0" w:color="auto"/>
                            <w:left w:val="none" w:sz="0" w:space="0" w:color="auto"/>
                            <w:bottom w:val="none" w:sz="0" w:space="0" w:color="auto"/>
                            <w:right w:val="none" w:sz="0" w:space="0" w:color="auto"/>
                          </w:divBdr>
                          <w:divsChild>
                            <w:div w:id="153604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92861">
      <w:bodyDiv w:val="1"/>
      <w:marLeft w:val="0"/>
      <w:marRight w:val="0"/>
      <w:marTop w:val="0"/>
      <w:marBottom w:val="0"/>
      <w:divBdr>
        <w:top w:val="none" w:sz="0" w:space="0" w:color="auto"/>
        <w:left w:val="none" w:sz="0" w:space="0" w:color="auto"/>
        <w:bottom w:val="none" w:sz="0" w:space="0" w:color="auto"/>
        <w:right w:val="none" w:sz="0" w:space="0" w:color="auto"/>
      </w:divBdr>
    </w:div>
    <w:div w:id="207567151">
      <w:bodyDiv w:val="1"/>
      <w:marLeft w:val="0"/>
      <w:marRight w:val="0"/>
      <w:marTop w:val="0"/>
      <w:marBottom w:val="0"/>
      <w:divBdr>
        <w:top w:val="none" w:sz="0" w:space="0" w:color="auto"/>
        <w:left w:val="none" w:sz="0" w:space="0" w:color="auto"/>
        <w:bottom w:val="none" w:sz="0" w:space="0" w:color="auto"/>
        <w:right w:val="none" w:sz="0" w:space="0" w:color="auto"/>
      </w:divBdr>
    </w:div>
    <w:div w:id="209071838">
      <w:bodyDiv w:val="1"/>
      <w:marLeft w:val="0"/>
      <w:marRight w:val="0"/>
      <w:marTop w:val="0"/>
      <w:marBottom w:val="0"/>
      <w:divBdr>
        <w:top w:val="none" w:sz="0" w:space="0" w:color="auto"/>
        <w:left w:val="none" w:sz="0" w:space="0" w:color="auto"/>
        <w:bottom w:val="none" w:sz="0" w:space="0" w:color="auto"/>
        <w:right w:val="none" w:sz="0" w:space="0" w:color="auto"/>
      </w:divBdr>
      <w:divsChild>
        <w:div w:id="227108388">
          <w:marLeft w:val="0"/>
          <w:marRight w:val="0"/>
          <w:marTop w:val="0"/>
          <w:marBottom w:val="0"/>
          <w:divBdr>
            <w:top w:val="none" w:sz="0" w:space="0" w:color="auto"/>
            <w:left w:val="none" w:sz="0" w:space="0" w:color="auto"/>
            <w:bottom w:val="none" w:sz="0" w:space="0" w:color="auto"/>
            <w:right w:val="none" w:sz="0" w:space="0" w:color="auto"/>
          </w:divBdr>
        </w:div>
      </w:divsChild>
    </w:div>
    <w:div w:id="214853548">
      <w:bodyDiv w:val="1"/>
      <w:marLeft w:val="0"/>
      <w:marRight w:val="0"/>
      <w:marTop w:val="0"/>
      <w:marBottom w:val="0"/>
      <w:divBdr>
        <w:top w:val="none" w:sz="0" w:space="0" w:color="auto"/>
        <w:left w:val="none" w:sz="0" w:space="0" w:color="auto"/>
        <w:bottom w:val="none" w:sz="0" w:space="0" w:color="auto"/>
        <w:right w:val="none" w:sz="0" w:space="0" w:color="auto"/>
      </w:divBdr>
    </w:div>
    <w:div w:id="215245657">
      <w:bodyDiv w:val="1"/>
      <w:marLeft w:val="0"/>
      <w:marRight w:val="0"/>
      <w:marTop w:val="0"/>
      <w:marBottom w:val="0"/>
      <w:divBdr>
        <w:top w:val="none" w:sz="0" w:space="0" w:color="auto"/>
        <w:left w:val="none" w:sz="0" w:space="0" w:color="auto"/>
        <w:bottom w:val="none" w:sz="0" w:space="0" w:color="auto"/>
        <w:right w:val="none" w:sz="0" w:space="0" w:color="auto"/>
      </w:divBdr>
      <w:divsChild>
        <w:div w:id="1241478513">
          <w:marLeft w:val="0"/>
          <w:marRight w:val="0"/>
          <w:marTop w:val="0"/>
          <w:marBottom w:val="0"/>
          <w:divBdr>
            <w:top w:val="none" w:sz="0" w:space="0" w:color="auto"/>
            <w:left w:val="none" w:sz="0" w:space="0" w:color="auto"/>
            <w:bottom w:val="none" w:sz="0" w:space="0" w:color="auto"/>
            <w:right w:val="none" w:sz="0" w:space="0" w:color="auto"/>
          </w:divBdr>
          <w:divsChild>
            <w:div w:id="1121462580">
              <w:marLeft w:val="-225"/>
              <w:marRight w:val="-225"/>
              <w:marTop w:val="0"/>
              <w:marBottom w:val="0"/>
              <w:divBdr>
                <w:top w:val="none" w:sz="0" w:space="0" w:color="auto"/>
                <w:left w:val="none" w:sz="0" w:space="0" w:color="auto"/>
                <w:bottom w:val="none" w:sz="0" w:space="0" w:color="auto"/>
                <w:right w:val="none" w:sz="0" w:space="0" w:color="auto"/>
              </w:divBdr>
              <w:divsChild>
                <w:div w:id="1260287316">
                  <w:marLeft w:val="0"/>
                  <w:marRight w:val="0"/>
                  <w:marTop w:val="0"/>
                  <w:marBottom w:val="0"/>
                  <w:divBdr>
                    <w:top w:val="none" w:sz="0" w:space="0" w:color="auto"/>
                    <w:left w:val="none" w:sz="0" w:space="0" w:color="auto"/>
                    <w:bottom w:val="none" w:sz="0" w:space="0" w:color="auto"/>
                    <w:right w:val="none" w:sz="0" w:space="0" w:color="auto"/>
                  </w:divBdr>
                  <w:divsChild>
                    <w:div w:id="443233249">
                      <w:marLeft w:val="-225"/>
                      <w:marRight w:val="-225"/>
                      <w:marTop w:val="0"/>
                      <w:marBottom w:val="0"/>
                      <w:divBdr>
                        <w:top w:val="none" w:sz="0" w:space="0" w:color="auto"/>
                        <w:left w:val="none" w:sz="0" w:space="0" w:color="auto"/>
                        <w:bottom w:val="none" w:sz="0" w:space="0" w:color="auto"/>
                        <w:right w:val="none" w:sz="0" w:space="0" w:color="auto"/>
                      </w:divBdr>
                      <w:divsChild>
                        <w:div w:id="19413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096597">
      <w:bodyDiv w:val="1"/>
      <w:marLeft w:val="0"/>
      <w:marRight w:val="0"/>
      <w:marTop w:val="0"/>
      <w:marBottom w:val="0"/>
      <w:divBdr>
        <w:top w:val="none" w:sz="0" w:space="0" w:color="auto"/>
        <w:left w:val="none" w:sz="0" w:space="0" w:color="auto"/>
        <w:bottom w:val="none" w:sz="0" w:space="0" w:color="auto"/>
        <w:right w:val="none" w:sz="0" w:space="0" w:color="auto"/>
      </w:divBdr>
      <w:divsChild>
        <w:div w:id="1283808538">
          <w:marLeft w:val="0"/>
          <w:marRight w:val="0"/>
          <w:marTop w:val="0"/>
          <w:marBottom w:val="900"/>
          <w:divBdr>
            <w:top w:val="none" w:sz="0" w:space="0" w:color="auto"/>
            <w:left w:val="none" w:sz="0" w:space="0" w:color="auto"/>
            <w:bottom w:val="none" w:sz="0" w:space="0" w:color="auto"/>
            <w:right w:val="none" w:sz="0" w:space="0" w:color="auto"/>
          </w:divBdr>
        </w:div>
        <w:div w:id="1115834390">
          <w:marLeft w:val="0"/>
          <w:marRight w:val="0"/>
          <w:marTop w:val="0"/>
          <w:marBottom w:val="900"/>
          <w:divBdr>
            <w:top w:val="none" w:sz="0" w:space="0" w:color="auto"/>
            <w:left w:val="none" w:sz="0" w:space="0" w:color="auto"/>
            <w:bottom w:val="none" w:sz="0" w:space="0" w:color="auto"/>
            <w:right w:val="none" w:sz="0" w:space="0" w:color="auto"/>
          </w:divBdr>
          <w:divsChild>
            <w:div w:id="1825315900">
              <w:marLeft w:val="0"/>
              <w:marRight w:val="0"/>
              <w:marTop w:val="0"/>
              <w:marBottom w:val="0"/>
              <w:divBdr>
                <w:top w:val="none" w:sz="0" w:space="0" w:color="auto"/>
                <w:left w:val="none" w:sz="0" w:space="0" w:color="auto"/>
                <w:bottom w:val="none" w:sz="0" w:space="0" w:color="auto"/>
                <w:right w:val="none" w:sz="0" w:space="0" w:color="auto"/>
              </w:divBdr>
              <w:divsChild>
                <w:div w:id="14303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6339">
      <w:bodyDiv w:val="1"/>
      <w:marLeft w:val="0"/>
      <w:marRight w:val="0"/>
      <w:marTop w:val="0"/>
      <w:marBottom w:val="0"/>
      <w:divBdr>
        <w:top w:val="none" w:sz="0" w:space="0" w:color="auto"/>
        <w:left w:val="none" w:sz="0" w:space="0" w:color="auto"/>
        <w:bottom w:val="none" w:sz="0" w:space="0" w:color="auto"/>
        <w:right w:val="none" w:sz="0" w:space="0" w:color="auto"/>
      </w:divBdr>
      <w:divsChild>
        <w:div w:id="81491141">
          <w:marLeft w:val="0"/>
          <w:marRight w:val="0"/>
          <w:marTop w:val="0"/>
          <w:marBottom w:val="0"/>
          <w:divBdr>
            <w:top w:val="none" w:sz="0" w:space="0" w:color="auto"/>
            <w:left w:val="none" w:sz="0" w:space="0" w:color="auto"/>
            <w:bottom w:val="none" w:sz="0" w:space="0" w:color="auto"/>
            <w:right w:val="none" w:sz="0" w:space="0" w:color="auto"/>
          </w:divBdr>
          <w:divsChild>
            <w:div w:id="7452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13099">
      <w:bodyDiv w:val="1"/>
      <w:marLeft w:val="0"/>
      <w:marRight w:val="0"/>
      <w:marTop w:val="0"/>
      <w:marBottom w:val="0"/>
      <w:divBdr>
        <w:top w:val="none" w:sz="0" w:space="0" w:color="auto"/>
        <w:left w:val="none" w:sz="0" w:space="0" w:color="auto"/>
        <w:bottom w:val="none" w:sz="0" w:space="0" w:color="auto"/>
        <w:right w:val="none" w:sz="0" w:space="0" w:color="auto"/>
      </w:divBdr>
    </w:div>
    <w:div w:id="262306305">
      <w:bodyDiv w:val="1"/>
      <w:marLeft w:val="0"/>
      <w:marRight w:val="0"/>
      <w:marTop w:val="0"/>
      <w:marBottom w:val="0"/>
      <w:divBdr>
        <w:top w:val="none" w:sz="0" w:space="0" w:color="auto"/>
        <w:left w:val="none" w:sz="0" w:space="0" w:color="auto"/>
        <w:bottom w:val="none" w:sz="0" w:space="0" w:color="auto"/>
        <w:right w:val="none" w:sz="0" w:space="0" w:color="auto"/>
      </w:divBdr>
    </w:div>
    <w:div w:id="264390631">
      <w:bodyDiv w:val="1"/>
      <w:marLeft w:val="0"/>
      <w:marRight w:val="0"/>
      <w:marTop w:val="0"/>
      <w:marBottom w:val="0"/>
      <w:divBdr>
        <w:top w:val="none" w:sz="0" w:space="0" w:color="auto"/>
        <w:left w:val="none" w:sz="0" w:space="0" w:color="auto"/>
        <w:bottom w:val="none" w:sz="0" w:space="0" w:color="auto"/>
        <w:right w:val="none" w:sz="0" w:space="0" w:color="auto"/>
      </w:divBdr>
      <w:divsChild>
        <w:div w:id="2059163419">
          <w:marLeft w:val="0"/>
          <w:marRight w:val="0"/>
          <w:marTop w:val="0"/>
          <w:marBottom w:val="0"/>
          <w:divBdr>
            <w:top w:val="none" w:sz="0" w:space="0" w:color="auto"/>
            <w:left w:val="none" w:sz="0" w:space="0" w:color="auto"/>
            <w:bottom w:val="none" w:sz="0" w:space="0" w:color="auto"/>
            <w:right w:val="none" w:sz="0" w:space="0" w:color="auto"/>
          </w:divBdr>
          <w:divsChild>
            <w:div w:id="89404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6721">
      <w:bodyDiv w:val="1"/>
      <w:marLeft w:val="0"/>
      <w:marRight w:val="0"/>
      <w:marTop w:val="0"/>
      <w:marBottom w:val="0"/>
      <w:divBdr>
        <w:top w:val="none" w:sz="0" w:space="0" w:color="auto"/>
        <w:left w:val="none" w:sz="0" w:space="0" w:color="auto"/>
        <w:bottom w:val="none" w:sz="0" w:space="0" w:color="auto"/>
        <w:right w:val="none" w:sz="0" w:space="0" w:color="auto"/>
      </w:divBdr>
    </w:div>
    <w:div w:id="276454741">
      <w:bodyDiv w:val="1"/>
      <w:marLeft w:val="0"/>
      <w:marRight w:val="0"/>
      <w:marTop w:val="0"/>
      <w:marBottom w:val="0"/>
      <w:divBdr>
        <w:top w:val="none" w:sz="0" w:space="0" w:color="auto"/>
        <w:left w:val="none" w:sz="0" w:space="0" w:color="auto"/>
        <w:bottom w:val="none" w:sz="0" w:space="0" w:color="auto"/>
        <w:right w:val="none" w:sz="0" w:space="0" w:color="auto"/>
      </w:divBdr>
    </w:div>
    <w:div w:id="280192418">
      <w:bodyDiv w:val="1"/>
      <w:marLeft w:val="0"/>
      <w:marRight w:val="0"/>
      <w:marTop w:val="0"/>
      <w:marBottom w:val="0"/>
      <w:divBdr>
        <w:top w:val="none" w:sz="0" w:space="0" w:color="auto"/>
        <w:left w:val="none" w:sz="0" w:space="0" w:color="auto"/>
        <w:bottom w:val="none" w:sz="0" w:space="0" w:color="auto"/>
        <w:right w:val="none" w:sz="0" w:space="0" w:color="auto"/>
      </w:divBdr>
    </w:div>
    <w:div w:id="281376473">
      <w:bodyDiv w:val="1"/>
      <w:marLeft w:val="0"/>
      <w:marRight w:val="0"/>
      <w:marTop w:val="0"/>
      <w:marBottom w:val="0"/>
      <w:divBdr>
        <w:top w:val="none" w:sz="0" w:space="0" w:color="auto"/>
        <w:left w:val="none" w:sz="0" w:space="0" w:color="auto"/>
        <w:bottom w:val="none" w:sz="0" w:space="0" w:color="auto"/>
        <w:right w:val="none" w:sz="0" w:space="0" w:color="auto"/>
      </w:divBdr>
    </w:div>
    <w:div w:id="288707994">
      <w:bodyDiv w:val="1"/>
      <w:marLeft w:val="0"/>
      <w:marRight w:val="0"/>
      <w:marTop w:val="0"/>
      <w:marBottom w:val="0"/>
      <w:divBdr>
        <w:top w:val="none" w:sz="0" w:space="0" w:color="auto"/>
        <w:left w:val="none" w:sz="0" w:space="0" w:color="auto"/>
        <w:bottom w:val="none" w:sz="0" w:space="0" w:color="auto"/>
        <w:right w:val="none" w:sz="0" w:space="0" w:color="auto"/>
      </w:divBdr>
    </w:div>
    <w:div w:id="288754194">
      <w:bodyDiv w:val="1"/>
      <w:marLeft w:val="0"/>
      <w:marRight w:val="0"/>
      <w:marTop w:val="0"/>
      <w:marBottom w:val="0"/>
      <w:divBdr>
        <w:top w:val="none" w:sz="0" w:space="0" w:color="auto"/>
        <w:left w:val="none" w:sz="0" w:space="0" w:color="auto"/>
        <w:bottom w:val="none" w:sz="0" w:space="0" w:color="auto"/>
        <w:right w:val="none" w:sz="0" w:space="0" w:color="auto"/>
      </w:divBdr>
    </w:div>
    <w:div w:id="294675498">
      <w:bodyDiv w:val="1"/>
      <w:marLeft w:val="0"/>
      <w:marRight w:val="0"/>
      <w:marTop w:val="0"/>
      <w:marBottom w:val="0"/>
      <w:divBdr>
        <w:top w:val="none" w:sz="0" w:space="0" w:color="auto"/>
        <w:left w:val="none" w:sz="0" w:space="0" w:color="auto"/>
        <w:bottom w:val="none" w:sz="0" w:space="0" w:color="auto"/>
        <w:right w:val="none" w:sz="0" w:space="0" w:color="auto"/>
      </w:divBdr>
    </w:div>
    <w:div w:id="299655915">
      <w:bodyDiv w:val="1"/>
      <w:marLeft w:val="0"/>
      <w:marRight w:val="0"/>
      <w:marTop w:val="0"/>
      <w:marBottom w:val="0"/>
      <w:divBdr>
        <w:top w:val="none" w:sz="0" w:space="0" w:color="auto"/>
        <w:left w:val="none" w:sz="0" w:space="0" w:color="auto"/>
        <w:bottom w:val="none" w:sz="0" w:space="0" w:color="auto"/>
        <w:right w:val="none" w:sz="0" w:space="0" w:color="auto"/>
      </w:divBdr>
    </w:div>
    <w:div w:id="305159669">
      <w:bodyDiv w:val="1"/>
      <w:marLeft w:val="0"/>
      <w:marRight w:val="0"/>
      <w:marTop w:val="0"/>
      <w:marBottom w:val="0"/>
      <w:divBdr>
        <w:top w:val="none" w:sz="0" w:space="0" w:color="auto"/>
        <w:left w:val="none" w:sz="0" w:space="0" w:color="auto"/>
        <w:bottom w:val="none" w:sz="0" w:space="0" w:color="auto"/>
        <w:right w:val="none" w:sz="0" w:space="0" w:color="auto"/>
      </w:divBdr>
    </w:div>
    <w:div w:id="305208522">
      <w:bodyDiv w:val="1"/>
      <w:marLeft w:val="0"/>
      <w:marRight w:val="0"/>
      <w:marTop w:val="0"/>
      <w:marBottom w:val="0"/>
      <w:divBdr>
        <w:top w:val="none" w:sz="0" w:space="0" w:color="auto"/>
        <w:left w:val="none" w:sz="0" w:space="0" w:color="auto"/>
        <w:bottom w:val="none" w:sz="0" w:space="0" w:color="auto"/>
        <w:right w:val="none" w:sz="0" w:space="0" w:color="auto"/>
      </w:divBdr>
    </w:div>
    <w:div w:id="306783045">
      <w:bodyDiv w:val="1"/>
      <w:marLeft w:val="0"/>
      <w:marRight w:val="0"/>
      <w:marTop w:val="0"/>
      <w:marBottom w:val="0"/>
      <w:divBdr>
        <w:top w:val="none" w:sz="0" w:space="0" w:color="auto"/>
        <w:left w:val="none" w:sz="0" w:space="0" w:color="auto"/>
        <w:bottom w:val="none" w:sz="0" w:space="0" w:color="auto"/>
        <w:right w:val="none" w:sz="0" w:space="0" w:color="auto"/>
      </w:divBdr>
      <w:divsChild>
        <w:div w:id="35666368">
          <w:marLeft w:val="0"/>
          <w:marRight w:val="0"/>
          <w:marTop w:val="0"/>
          <w:marBottom w:val="0"/>
          <w:divBdr>
            <w:top w:val="none" w:sz="0" w:space="0" w:color="auto"/>
            <w:left w:val="none" w:sz="0" w:space="0" w:color="auto"/>
            <w:bottom w:val="none" w:sz="0" w:space="0" w:color="auto"/>
            <w:right w:val="none" w:sz="0" w:space="0" w:color="auto"/>
          </w:divBdr>
        </w:div>
      </w:divsChild>
    </w:div>
    <w:div w:id="307442205">
      <w:bodyDiv w:val="1"/>
      <w:marLeft w:val="0"/>
      <w:marRight w:val="0"/>
      <w:marTop w:val="0"/>
      <w:marBottom w:val="0"/>
      <w:divBdr>
        <w:top w:val="none" w:sz="0" w:space="0" w:color="auto"/>
        <w:left w:val="none" w:sz="0" w:space="0" w:color="auto"/>
        <w:bottom w:val="none" w:sz="0" w:space="0" w:color="auto"/>
        <w:right w:val="none" w:sz="0" w:space="0" w:color="auto"/>
      </w:divBdr>
    </w:div>
    <w:div w:id="310409354">
      <w:bodyDiv w:val="1"/>
      <w:marLeft w:val="0"/>
      <w:marRight w:val="0"/>
      <w:marTop w:val="0"/>
      <w:marBottom w:val="0"/>
      <w:divBdr>
        <w:top w:val="none" w:sz="0" w:space="0" w:color="auto"/>
        <w:left w:val="none" w:sz="0" w:space="0" w:color="auto"/>
        <w:bottom w:val="none" w:sz="0" w:space="0" w:color="auto"/>
        <w:right w:val="none" w:sz="0" w:space="0" w:color="auto"/>
      </w:divBdr>
    </w:div>
    <w:div w:id="324743575">
      <w:bodyDiv w:val="1"/>
      <w:marLeft w:val="0"/>
      <w:marRight w:val="0"/>
      <w:marTop w:val="0"/>
      <w:marBottom w:val="0"/>
      <w:divBdr>
        <w:top w:val="none" w:sz="0" w:space="0" w:color="auto"/>
        <w:left w:val="none" w:sz="0" w:space="0" w:color="auto"/>
        <w:bottom w:val="none" w:sz="0" w:space="0" w:color="auto"/>
        <w:right w:val="none" w:sz="0" w:space="0" w:color="auto"/>
      </w:divBdr>
    </w:div>
    <w:div w:id="328875004">
      <w:bodyDiv w:val="1"/>
      <w:marLeft w:val="0"/>
      <w:marRight w:val="0"/>
      <w:marTop w:val="0"/>
      <w:marBottom w:val="0"/>
      <w:divBdr>
        <w:top w:val="none" w:sz="0" w:space="0" w:color="auto"/>
        <w:left w:val="none" w:sz="0" w:space="0" w:color="auto"/>
        <w:bottom w:val="none" w:sz="0" w:space="0" w:color="auto"/>
        <w:right w:val="none" w:sz="0" w:space="0" w:color="auto"/>
      </w:divBdr>
    </w:div>
    <w:div w:id="338587400">
      <w:bodyDiv w:val="1"/>
      <w:marLeft w:val="0"/>
      <w:marRight w:val="0"/>
      <w:marTop w:val="0"/>
      <w:marBottom w:val="0"/>
      <w:divBdr>
        <w:top w:val="none" w:sz="0" w:space="0" w:color="auto"/>
        <w:left w:val="none" w:sz="0" w:space="0" w:color="auto"/>
        <w:bottom w:val="none" w:sz="0" w:space="0" w:color="auto"/>
        <w:right w:val="none" w:sz="0" w:space="0" w:color="auto"/>
      </w:divBdr>
    </w:div>
    <w:div w:id="343821273">
      <w:bodyDiv w:val="1"/>
      <w:marLeft w:val="0"/>
      <w:marRight w:val="0"/>
      <w:marTop w:val="0"/>
      <w:marBottom w:val="0"/>
      <w:divBdr>
        <w:top w:val="none" w:sz="0" w:space="0" w:color="auto"/>
        <w:left w:val="none" w:sz="0" w:space="0" w:color="auto"/>
        <w:bottom w:val="none" w:sz="0" w:space="0" w:color="auto"/>
        <w:right w:val="none" w:sz="0" w:space="0" w:color="auto"/>
      </w:divBdr>
      <w:divsChild>
        <w:div w:id="1968048366">
          <w:marLeft w:val="0"/>
          <w:marRight w:val="0"/>
          <w:marTop w:val="0"/>
          <w:marBottom w:val="0"/>
          <w:divBdr>
            <w:top w:val="none" w:sz="0" w:space="0" w:color="auto"/>
            <w:left w:val="none" w:sz="0" w:space="0" w:color="auto"/>
            <w:bottom w:val="none" w:sz="0" w:space="0" w:color="auto"/>
            <w:right w:val="none" w:sz="0" w:space="0" w:color="auto"/>
          </w:divBdr>
          <w:divsChild>
            <w:div w:id="876627472">
              <w:marLeft w:val="-225"/>
              <w:marRight w:val="-225"/>
              <w:marTop w:val="0"/>
              <w:marBottom w:val="0"/>
              <w:divBdr>
                <w:top w:val="none" w:sz="0" w:space="0" w:color="auto"/>
                <w:left w:val="none" w:sz="0" w:space="0" w:color="auto"/>
                <w:bottom w:val="none" w:sz="0" w:space="0" w:color="auto"/>
                <w:right w:val="none" w:sz="0" w:space="0" w:color="auto"/>
              </w:divBdr>
              <w:divsChild>
                <w:div w:id="905460491">
                  <w:marLeft w:val="0"/>
                  <w:marRight w:val="0"/>
                  <w:marTop w:val="0"/>
                  <w:marBottom w:val="0"/>
                  <w:divBdr>
                    <w:top w:val="none" w:sz="0" w:space="0" w:color="auto"/>
                    <w:left w:val="none" w:sz="0" w:space="0" w:color="auto"/>
                    <w:bottom w:val="none" w:sz="0" w:space="0" w:color="auto"/>
                    <w:right w:val="none" w:sz="0" w:space="0" w:color="auto"/>
                  </w:divBdr>
                  <w:divsChild>
                    <w:div w:id="1068769640">
                      <w:marLeft w:val="0"/>
                      <w:marRight w:val="0"/>
                      <w:marTop w:val="0"/>
                      <w:marBottom w:val="0"/>
                      <w:divBdr>
                        <w:top w:val="none" w:sz="0" w:space="0" w:color="auto"/>
                        <w:left w:val="none" w:sz="0" w:space="0" w:color="auto"/>
                        <w:bottom w:val="none" w:sz="0" w:space="0" w:color="auto"/>
                        <w:right w:val="none" w:sz="0" w:space="0" w:color="auto"/>
                      </w:divBdr>
                      <w:divsChild>
                        <w:div w:id="865824981">
                          <w:marLeft w:val="0"/>
                          <w:marRight w:val="0"/>
                          <w:marTop w:val="0"/>
                          <w:marBottom w:val="0"/>
                          <w:divBdr>
                            <w:top w:val="none" w:sz="0" w:space="0" w:color="auto"/>
                            <w:left w:val="none" w:sz="0" w:space="0" w:color="auto"/>
                            <w:bottom w:val="none" w:sz="0" w:space="0" w:color="auto"/>
                            <w:right w:val="none" w:sz="0" w:space="0" w:color="auto"/>
                          </w:divBdr>
                          <w:divsChild>
                            <w:div w:id="13927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137629">
      <w:bodyDiv w:val="1"/>
      <w:marLeft w:val="0"/>
      <w:marRight w:val="0"/>
      <w:marTop w:val="0"/>
      <w:marBottom w:val="0"/>
      <w:divBdr>
        <w:top w:val="none" w:sz="0" w:space="0" w:color="auto"/>
        <w:left w:val="none" w:sz="0" w:space="0" w:color="auto"/>
        <w:bottom w:val="none" w:sz="0" w:space="0" w:color="auto"/>
        <w:right w:val="none" w:sz="0" w:space="0" w:color="auto"/>
      </w:divBdr>
      <w:divsChild>
        <w:div w:id="1864317279">
          <w:marLeft w:val="0"/>
          <w:marRight w:val="0"/>
          <w:marTop w:val="0"/>
          <w:marBottom w:val="0"/>
          <w:divBdr>
            <w:top w:val="none" w:sz="0" w:space="0" w:color="auto"/>
            <w:left w:val="none" w:sz="0" w:space="0" w:color="auto"/>
            <w:bottom w:val="none" w:sz="0" w:space="0" w:color="auto"/>
            <w:right w:val="none" w:sz="0" w:space="0" w:color="auto"/>
          </w:divBdr>
        </w:div>
      </w:divsChild>
    </w:div>
    <w:div w:id="345787510">
      <w:bodyDiv w:val="1"/>
      <w:marLeft w:val="0"/>
      <w:marRight w:val="0"/>
      <w:marTop w:val="0"/>
      <w:marBottom w:val="0"/>
      <w:divBdr>
        <w:top w:val="none" w:sz="0" w:space="0" w:color="auto"/>
        <w:left w:val="none" w:sz="0" w:space="0" w:color="auto"/>
        <w:bottom w:val="none" w:sz="0" w:space="0" w:color="auto"/>
        <w:right w:val="none" w:sz="0" w:space="0" w:color="auto"/>
      </w:divBdr>
      <w:divsChild>
        <w:div w:id="603416864">
          <w:marLeft w:val="0"/>
          <w:marRight w:val="0"/>
          <w:marTop w:val="0"/>
          <w:marBottom w:val="0"/>
          <w:divBdr>
            <w:top w:val="none" w:sz="0" w:space="0" w:color="auto"/>
            <w:left w:val="none" w:sz="0" w:space="0" w:color="auto"/>
            <w:bottom w:val="none" w:sz="0" w:space="0" w:color="auto"/>
            <w:right w:val="none" w:sz="0" w:space="0" w:color="auto"/>
          </w:divBdr>
        </w:div>
      </w:divsChild>
    </w:div>
    <w:div w:id="346909637">
      <w:bodyDiv w:val="1"/>
      <w:marLeft w:val="0"/>
      <w:marRight w:val="0"/>
      <w:marTop w:val="0"/>
      <w:marBottom w:val="0"/>
      <w:divBdr>
        <w:top w:val="none" w:sz="0" w:space="0" w:color="auto"/>
        <w:left w:val="none" w:sz="0" w:space="0" w:color="auto"/>
        <w:bottom w:val="none" w:sz="0" w:space="0" w:color="auto"/>
        <w:right w:val="none" w:sz="0" w:space="0" w:color="auto"/>
      </w:divBdr>
    </w:div>
    <w:div w:id="353112937">
      <w:bodyDiv w:val="1"/>
      <w:marLeft w:val="0"/>
      <w:marRight w:val="0"/>
      <w:marTop w:val="0"/>
      <w:marBottom w:val="0"/>
      <w:divBdr>
        <w:top w:val="none" w:sz="0" w:space="0" w:color="auto"/>
        <w:left w:val="none" w:sz="0" w:space="0" w:color="auto"/>
        <w:bottom w:val="none" w:sz="0" w:space="0" w:color="auto"/>
        <w:right w:val="none" w:sz="0" w:space="0" w:color="auto"/>
      </w:divBdr>
      <w:divsChild>
        <w:div w:id="1603882168">
          <w:marLeft w:val="0"/>
          <w:marRight w:val="0"/>
          <w:marTop w:val="0"/>
          <w:marBottom w:val="0"/>
          <w:divBdr>
            <w:top w:val="none" w:sz="0" w:space="0" w:color="auto"/>
            <w:left w:val="none" w:sz="0" w:space="0" w:color="auto"/>
            <w:bottom w:val="none" w:sz="0" w:space="0" w:color="auto"/>
            <w:right w:val="none" w:sz="0" w:space="0" w:color="auto"/>
          </w:divBdr>
          <w:divsChild>
            <w:div w:id="20892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05792">
      <w:bodyDiv w:val="1"/>
      <w:marLeft w:val="0"/>
      <w:marRight w:val="0"/>
      <w:marTop w:val="0"/>
      <w:marBottom w:val="0"/>
      <w:divBdr>
        <w:top w:val="none" w:sz="0" w:space="0" w:color="auto"/>
        <w:left w:val="none" w:sz="0" w:space="0" w:color="auto"/>
        <w:bottom w:val="none" w:sz="0" w:space="0" w:color="auto"/>
        <w:right w:val="none" w:sz="0" w:space="0" w:color="auto"/>
      </w:divBdr>
    </w:div>
    <w:div w:id="366485984">
      <w:bodyDiv w:val="1"/>
      <w:marLeft w:val="0"/>
      <w:marRight w:val="0"/>
      <w:marTop w:val="0"/>
      <w:marBottom w:val="0"/>
      <w:divBdr>
        <w:top w:val="none" w:sz="0" w:space="0" w:color="auto"/>
        <w:left w:val="none" w:sz="0" w:space="0" w:color="auto"/>
        <w:bottom w:val="none" w:sz="0" w:space="0" w:color="auto"/>
        <w:right w:val="none" w:sz="0" w:space="0" w:color="auto"/>
      </w:divBdr>
      <w:divsChild>
        <w:div w:id="1666326320">
          <w:marLeft w:val="0"/>
          <w:marRight w:val="0"/>
          <w:marTop w:val="0"/>
          <w:marBottom w:val="0"/>
          <w:divBdr>
            <w:top w:val="none" w:sz="0" w:space="0" w:color="auto"/>
            <w:left w:val="none" w:sz="0" w:space="0" w:color="auto"/>
            <w:bottom w:val="none" w:sz="0" w:space="0" w:color="auto"/>
            <w:right w:val="none" w:sz="0" w:space="0" w:color="auto"/>
          </w:divBdr>
        </w:div>
      </w:divsChild>
    </w:div>
    <w:div w:id="376470861">
      <w:bodyDiv w:val="1"/>
      <w:marLeft w:val="0"/>
      <w:marRight w:val="0"/>
      <w:marTop w:val="0"/>
      <w:marBottom w:val="0"/>
      <w:divBdr>
        <w:top w:val="none" w:sz="0" w:space="0" w:color="auto"/>
        <w:left w:val="none" w:sz="0" w:space="0" w:color="auto"/>
        <w:bottom w:val="none" w:sz="0" w:space="0" w:color="auto"/>
        <w:right w:val="none" w:sz="0" w:space="0" w:color="auto"/>
      </w:divBdr>
    </w:div>
    <w:div w:id="388774571">
      <w:bodyDiv w:val="1"/>
      <w:marLeft w:val="0"/>
      <w:marRight w:val="0"/>
      <w:marTop w:val="0"/>
      <w:marBottom w:val="0"/>
      <w:divBdr>
        <w:top w:val="none" w:sz="0" w:space="0" w:color="auto"/>
        <w:left w:val="none" w:sz="0" w:space="0" w:color="auto"/>
        <w:bottom w:val="none" w:sz="0" w:space="0" w:color="auto"/>
        <w:right w:val="none" w:sz="0" w:space="0" w:color="auto"/>
      </w:divBdr>
    </w:div>
    <w:div w:id="392584134">
      <w:bodyDiv w:val="1"/>
      <w:marLeft w:val="0"/>
      <w:marRight w:val="0"/>
      <w:marTop w:val="0"/>
      <w:marBottom w:val="0"/>
      <w:divBdr>
        <w:top w:val="none" w:sz="0" w:space="0" w:color="auto"/>
        <w:left w:val="none" w:sz="0" w:space="0" w:color="auto"/>
        <w:bottom w:val="none" w:sz="0" w:space="0" w:color="auto"/>
        <w:right w:val="none" w:sz="0" w:space="0" w:color="auto"/>
      </w:divBdr>
    </w:div>
    <w:div w:id="392969220">
      <w:bodyDiv w:val="1"/>
      <w:marLeft w:val="0"/>
      <w:marRight w:val="0"/>
      <w:marTop w:val="0"/>
      <w:marBottom w:val="0"/>
      <w:divBdr>
        <w:top w:val="none" w:sz="0" w:space="0" w:color="auto"/>
        <w:left w:val="none" w:sz="0" w:space="0" w:color="auto"/>
        <w:bottom w:val="none" w:sz="0" w:space="0" w:color="auto"/>
        <w:right w:val="none" w:sz="0" w:space="0" w:color="auto"/>
      </w:divBdr>
    </w:div>
    <w:div w:id="415903446">
      <w:marLeft w:val="0"/>
      <w:marRight w:val="0"/>
      <w:marTop w:val="0"/>
      <w:marBottom w:val="0"/>
      <w:divBdr>
        <w:top w:val="none" w:sz="0" w:space="0" w:color="auto"/>
        <w:left w:val="none" w:sz="0" w:space="0" w:color="auto"/>
        <w:bottom w:val="none" w:sz="0" w:space="0" w:color="auto"/>
        <w:right w:val="none" w:sz="0" w:space="0" w:color="auto"/>
      </w:divBdr>
      <w:divsChild>
        <w:div w:id="1096679818">
          <w:marLeft w:val="45"/>
          <w:marRight w:val="0"/>
          <w:marTop w:val="0"/>
          <w:marBottom w:val="0"/>
          <w:divBdr>
            <w:top w:val="none" w:sz="0" w:space="0" w:color="auto"/>
            <w:left w:val="none" w:sz="0" w:space="0" w:color="auto"/>
            <w:bottom w:val="none" w:sz="0" w:space="0" w:color="auto"/>
            <w:right w:val="none" w:sz="0" w:space="0" w:color="auto"/>
          </w:divBdr>
          <w:divsChild>
            <w:div w:id="13873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2720">
      <w:bodyDiv w:val="1"/>
      <w:marLeft w:val="0"/>
      <w:marRight w:val="0"/>
      <w:marTop w:val="0"/>
      <w:marBottom w:val="0"/>
      <w:divBdr>
        <w:top w:val="none" w:sz="0" w:space="0" w:color="auto"/>
        <w:left w:val="none" w:sz="0" w:space="0" w:color="auto"/>
        <w:bottom w:val="none" w:sz="0" w:space="0" w:color="auto"/>
        <w:right w:val="none" w:sz="0" w:space="0" w:color="auto"/>
      </w:divBdr>
      <w:divsChild>
        <w:div w:id="214127776">
          <w:marLeft w:val="0"/>
          <w:marRight w:val="0"/>
          <w:marTop w:val="0"/>
          <w:marBottom w:val="0"/>
          <w:divBdr>
            <w:top w:val="none" w:sz="0" w:space="0" w:color="auto"/>
            <w:left w:val="none" w:sz="0" w:space="0" w:color="auto"/>
            <w:bottom w:val="none" w:sz="0" w:space="0" w:color="auto"/>
            <w:right w:val="none" w:sz="0" w:space="0" w:color="auto"/>
          </w:divBdr>
        </w:div>
      </w:divsChild>
    </w:div>
    <w:div w:id="423456586">
      <w:bodyDiv w:val="1"/>
      <w:marLeft w:val="0"/>
      <w:marRight w:val="0"/>
      <w:marTop w:val="0"/>
      <w:marBottom w:val="0"/>
      <w:divBdr>
        <w:top w:val="none" w:sz="0" w:space="0" w:color="auto"/>
        <w:left w:val="none" w:sz="0" w:space="0" w:color="auto"/>
        <w:bottom w:val="none" w:sz="0" w:space="0" w:color="auto"/>
        <w:right w:val="none" w:sz="0" w:space="0" w:color="auto"/>
      </w:divBdr>
    </w:div>
    <w:div w:id="442384391">
      <w:bodyDiv w:val="1"/>
      <w:marLeft w:val="0"/>
      <w:marRight w:val="0"/>
      <w:marTop w:val="0"/>
      <w:marBottom w:val="0"/>
      <w:divBdr>
        <w:top w:val="none" w:sz="0" w:space="0" w:color="auto"/>
        <w:left w:val="none" w:sz="0" w:space="0" w:color="auto"/>
        <w:bottom w:val="none" w:sz="0" w:space="0" w:color="auto"/>
        <w:right w:val="none" w:sz="0" w:space="0" w:color="auto"/>
      </w:divBdr>
    </w:div>
    <w:div w:id="444083379">
      <w:bodyDiv w:val="1"/>
      <w:marLeft w:val="0"/>
      <w:marRight w:val="0"/>
      <w:marTop w:val="0"/>
      <w:marBottom w:val="0"/>
      <w:divBdr>
        <w:top w:val="none" w:sz="0" w:space="0" w:color="auto"/>
        <w:left w:val="none" w:sz="0" w:space="0" w:color="auto"/>
        <w:bottom w:val="none" w:sz="0" w:space="0" w:color="auto"/>
        <w:right w:val="none" w:sz="0" w:space="0" w:color="auto"/>
      </w:divBdr>
    </w:div>
    <w:div w:id="444468430">
      <w:bodyDiv w:val="1"/>
      <w:marLeft w:val="0"/>
      <w:marRight w:val="0"/>
      <w:marTop w:val="0"/>
      <w:marBottom w:val="0"/>
      <w:divBdr>
        <w:top w:val="none" w:sz="0" w:space="0" w:color="auto"/>
        <w:left w:val="none" w:sz="0" w:space="0" w:color="auto"/>
        <w:bottom w:val="none" w:sz="0" w:space="0" w:color="auto"/>
        <w:right w:val="none" w:sz="0" w:space="0" w:color="auto"/>
      </w:divBdr>
    </w:div>
    <w:div w:id="446630965">
      <w:bodyDiv w:val="1"/>
      <w:marLeft w:val="0"/>
      <w:marRight w:val="0"/>
      <w:marTop w:val="0"/>
      <w:marBottom w:val="0"/>
      <w:divBdr>
        <w:top w:val="none" w:sz="0" w:space="0" w:color="auto"/>
        <w:left w:val="none" w:sz="0" w:space="0" w:color="auto"/>
        <w:bottom w:val="none" w:sz="0" w:space="0" w:color="auto"/>
        <w:right w:val="none" w:sz="0" w:space="0" w:color="auto"/>
      </w:divBdr>
      <w:divsChild>
        <w:div w:id="1990941800">
          <w:marLeft w:val="0"/>
          <w:marRight w:val="0"/>
          <w:marTop w:val="0"/>
          <w:marBottom w:val="0"/>
          <w:divBdr>
            <w:top w:val="none" w:sz="0" w:space="0" w:color="auto"/>
            <w:left w:val="none" w:sz="0" w:space="0" w:color="auto"/>
            <w:bottom w:val="none" w:sz="0" w:space="0" w:color="auto"/>
            <w:right w:val="none" w:sz="0" w:space="0" w:color="auto"/>
          </w:divBdr>
        </w:div>
      </w:divsChild>
    </w:div>
    <w:div w:id="449977907">
      <w:bodyDiv w:val="1"/>
      <w:marLeft w:val="0"/>
      <w:marRight w:val="0"/>
      <w:marTop w:val="0"/>
      <w:marBottom w:val="0"/>
      <w:divBdr>
        <w:top w:val="none" w:sz="0" w:space="0" w:color="auto"/>
        <w:left w:val="none" w:sz="0" w:space="0" w:color="auto"/>
        <w:bottom w:val="none" w:sz="0" w:space="0" w:color="auto"/>
        <w:right w:val="none" w:sz="0" w:space="0" w:color="auto"/>
      </w:divBdr>
    </w:div>
    <w:div w:id="457602826">
      <w:bodyDiv w:val="1"/>
      <w:marLeft w:val="0"/>
      <w:marRight w:val="0"/>
      <w:marTop w:val="0"/>
      <w:marBottom w:val="0"/>
      <w:divBdr>
        <w:top w:val="none" w:sz="0" w:space="0" w:color="auto"/>
        <w:left w:val="none" w:sz="0" w:space="0" w:color="auto"/>
        <w:bottom w:val="none" w:sz="0" w:space="0" w:color="auto"/>
        <w:right w:val="none" w:sz="0" w:space="0" w:color="auto"/>
      </w:divBdr>
      <w:divsChild>
        <w:div w:id="594482165">
          <w:marLeft w:val="0"/>
          <w:marRight w:val="0"/>
          <w:marTop w:val="0"/>
          <w:marBottom w:val="0"/>
          <w:divBdr>
            <w:top w:val="none" w:sz="0" w:space="0" w:color="auto"/>
            <w:left w:val="none" w:sz="0" w:space="0" w:color="auto"/>
            <w:bottom w:val="none" w:sz="0" w:space="0" w:color="auto"/>
            <w:right w:val="none" w:sz="0" w:space="0" w:color="auto"/>
          </w:divBdr>
          <w:divsChild>
            <w:div w:id="617417663">
              <w:marLeft w:val="0"/>
              <w:marRight w:val="0"/>
              <w:marTop w:val="0"/>
              <w:marBottom w:val="0"/>
              <w:divBdr>
                <w:top w:val="none" w:sz="0" w:space="0" w:color="auto"/>
                <w:left w:val="none" w:sz="0" w:space="0" w:color="auto"/>
                <w:bottom w:val="none" w:sz="0" w:space="0" w:color="auto"/>
                <w:right w:val="none" w:sz="0" w:space="0" w:color="auto"/>
              </w:divBdr>
              <w:divsChild>
                <w:div w:id="99181526">
                  <w:marLeft w:val="0"/>
                  <w:marRight w:val="0"/>
                  <w:marTop w:val="0"/>
                  <w:marBottom w:val="0"/>
                  <w:divBdr>
                    <w:top w:val="none" w:sz="0" w:space="0" w:color="auto"/>
                    <w:left w:val="none" w:sz="0" w:space="0" w:color="auto"/>
                    <w:bottom w:val="none" w:sz="0" w:space="0" w:color="auto"/>
                    <w:right w:val="none" w:sz="0" w:space="0" w:color="auto"/>
                  </w:divBdr>
                  <w:divsChild>
                    <w:div w:id="2106731396">
                      <w:marLeft w:val="0"/>
                      <w:marRight w:val="0"/>
                      <w:marTop w:val="0"/>
                      <w:marBottom w:val="0"/>
                      <w:divBdr>
                        <w:top w:val="none" w:sz="0" w:space="0" w:color="auto"/>
                        <w:left w:val="none" w:sz="0" w:space="0" w:color="auto"/>
                        <w:bottom w:val="none" w:sz="0" w:space="0" w:color="auto"/>
                        <w:right w:val="none" w:sz="0" w:space="0" w:color="auto"/>
                      </w:divBdr>
                      <w:divsChild>
                        <w:div w:id="12921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542150">
      <w:bodyDiv w:val="1"/>
      <w:marLeft w:val="0"/>
      <w:marRight w:val="0"/>
      <w:marTop w:val="0"/>
      <w:marBottom w:val="0"/>
      <w:divBdr>
        <w:top w:val="none" w:sz="0" w:space="0" w:color="auto"/>
        <w:left w:val="none" w:sz="0" w:space="0" w:color="auto"/>
        <w:bottom w:val="none" w:sz="0" w:space="0" w:color="auto"/>
        <w:right w:val="none" w:sz="0" w:space="0" w:color="auto"/>
      </w:divBdr>
      <w:divsChild>
        <w:div w:id="365831611">
          <w:marLeft w:val="0"/>
          <w:marRight w:val="0"/>
          <w:marTop w:val="0"/>
          <w:marBottom w:val="0"/>
          <w:divBdr>
            <w:top w:val="none" w:sz="0" w:space="0" w:color="auto"/>
            <w:left w:val="none" w:sz="0" w:space="0" w:color="auto"/>
            <w:bottom w:val="none" w:sz="0" w:space="0" w:color="auto"/>
            <w:right w:val="none" w:sz="0" w:space="0" w:color="auto"/>
          </w:divBdr>
          <w:divsChild>
            <w:div w:id="1304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30364">
      <w:bodyDiv w:val="1"/>
      <w:marLeft w:val="0"/>
      <w:marRight w:val="0"/>
      <w:marTop w:val="0"/>
      <w:marBottom w:val="0"/>
      <w:divBdr>
        <w:top w:val="none" w:sz="0" w:space="0" w:color="auto"/>
        <w:left w:val="none" w:sz="0" w:space="0" w:color="auto"/>
        <w:bottom w:val="none" w:sz="0" w:space="0" w:color="auto"/>
        <w:right w:val="none" w:sz="0" w:space="0" w:color="auto"/>
      </w:divBdr>
    </w:div>
    <w:div w:id="484709884">
      <w:marLeft w:val="0"/>
      <w:marRight w:val="0"/>
      <w:marTop w:val="0"/>
      <w:marBottom w:val="0"/>
      <w:divBdr>
        <w:top w:val="none" w:sz="0" w:space="0" w:color="auto"/>
        <w:left w:val="none" w:sz="0" w:space="0" w:color="auto"/>
        <w:bottom w:val="none" w:sz="0" w:space="0" w:color="auto"/>
        <w:right w:val="none" w:sz="0" w:space="0" w:color="auto"/>
      </w:divBdr>
      <w:divsChild>
        <w:div w:id="1235550409">
          <w:marLeft w:val="45"/>
          <w:marRight w:val="0"/>
          <w:marTop w:val="0"/>
          <w:marBottom w:val="0"/>
          <w:divBdr>
            <w:top w:val="none" w:sz="0" w:space="0" w:color="auto"/>
            <w:left w:val="none" w:sz="0" w:space="0" w:color="auto"/>
            <w:bottom w:val="none" w:sz="0" w:space="0" w:color="auto"/>
            <w:right w:val="none" w:sz="0" w:space="0" w:color="auto"/>
          </w:divBdr>
          <w:divsChild>
            <w:div w:id="17560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0859">
      <w:bodyDiv w:val="1"/>
      <w:marLeft w:val="0"/>
      <w:marRight w:val="0"/>
      <w:marTop w:val="0"/>
      <w:marBottom w:val="0"/>
      <w:divBdr>
        <w:top w:val="none" w:sz="0" w:space="0" w:color="auto"/>
        <w:left w:val="none" w:sz="0" w:space="0" w:color="auto"/>
        <w:bottom w:val="none" w:sz="0" w:space="0" w:color="auto"/>
        <w:right w:val="none" w:sz="0" w:space="0" w:color="auto"/>
      </w:divBdr>
      <w:divsChild>
        <w:div w:id="1754400077">
          <w:marLeft w:val="0"/>
          <w:marRight w:val="0"/>
          <w:marTop w:val="0"/>
          <w:marBottom w:val="0"/>
          <w:divBdr>
            <w:top w:val="none" w:sz="0" w:space="0" w:color="auto"/>
            <w:left w:val="none" w:sz="0" w:space="0" w:color="auto"/>
            <w:bottom w:val="none" w:sz="0" w:space="0" w:color="auto"/>
            <w:right w:val="none" w:sz="0" w:space="0" w:color="auto"/>
          </w:divBdr>
          <w:divsChild>
            <w:div w:id="20992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4908">
      <w:bodyDiv w:val="1"/>
      <w:marLeft w:val="0"/>
      <w:marRight w:val="0"/>
      <w:marTop w:val="0"/>
      <w:marBottom w:val="0"/>
      <w:divBdr>
        <w:top w:val="none" w:sz="0" w:space="0" w:color="auto"/>
        <w:left w:val="none" w:sz="0" w:space="0" w:color="auto"/>
        <w:bottom w:val="none" w:sz="0" w:space="0" w:color="auto"/>
        <w:right w:val="none" w:sz="0" w:space="0" w:color="auto"/>
      </w:divBdr>
    </w:div>
    <w:div w:id="492069552">
      <w:bodyDiv w:val="1"/>
      <w:marLeft w:val="0"/>
      <w:marRight w:val="0"/>
      <w:marTop w:val="0"/>
      <w:marBottom w:val="0"/>
      <w:divBdr>
        <w:top w:val="none" w:sz="0" w:space="0" w:color="auto"/>
        <w:left w:val="none" w:sz="0" w:space="0" w:color="auto"/>
        <w:bottom w:val="none" w:sz="0" w:space="0" w:color="auto"/>
        <w:right w:val="none" w:sz="0" w:space="0" w:color="auto"/>
      </w:divBdr>
      <w:divsChild>
        <w:div w:id="1998067255">
          <w:marLeft w:val="0"/>
          <w:marRight w:val="0"/>
          <w:marTop w:val="0"/>
          <w:marBottom w:val="0"/>
          <w:divBdr>
            <w:top w:val="none" w:sz="0" w:space="0" w:color="auto"/>
            <w:left w:val="none" w:sz="0" w:space="0" w:color="auto"/>
            <w:bottom w:val="none" w:sz="0" w:space="0" w:color="auto"/>
            <w:right w:val="none" w:sz="0" w:space="0" w:color="auto"/>
          </w:divBdr>
          <w:divsChild>
            <w:div w:id="640307989">
              <w:marLeft w:val="0"/>
              <w:marRight w:val="0"/>
              <w:marTop w:val="0"/>
              <w:marBottom w:val="0"/>
              <w:divBdr>
                <w:top w:val="none" w:sz="0" w:space="0" w:color="auto"/>
                <w:left w:val="none" w:sz="0" w:space="0" w:color="auto"/>
                <w:bottom w:val="none" w:sz="0" w:space="0" w:color="auto"/>
                <w:right w:val="none" w:sz="0" w:space="0" w:color="auto"/>
              </w:divBdr>
              <w:divsChild>
                <w:div w:id="15231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98498903">
      <w:bodyDiv w:val="1"/>
      <w:marLeft w:val="0"/>
      <w:marRight w:val="0"/>
      <w:marTop w:val="0"/>
      <w:marBottom w:val="0"/>
      <w:divBdr>
        <w:top w:val="none" w:sz="0" w:space="0" w:color="auto"/>
        <w:left w:val="none" w:sz="0" w:space="0" w:color="auto"/>
        <w:bottom w:val="none" w:sz="0" w:space="0" w:color="auto"/>
        <w:right w:val="none" w:sz="0" w:space="0" w:color="auto"/>
      </w:divBdr>
    </w:div>
    <w:div w:id="504396386">
      <w:bodyDiv w:val="1"/>
      <w:marLeft w:val="0"/>
      <w:marRight w:val="0"/>
      <w:marTop w:val="0"/>
      <w:marBottom w:val="0"/>
      <w:divBdr>
        <w:top w:val="none" w:sz="0" w:space="0" w:color="auto"/>
        <w:left w:val="none" w:sz="0" w:space="0" w:color="auto"/>
        <w:bottom w:val="none" w:sz="0" w:space="0" w:color="auto"/>
        <w:right w:val="none" w:sz="0" w:space="0" w:color="auto"/>
      </w:divBdr>
    </w:div>
    <w:div w:id="510144475">
      <w:bodyDiv w:val="1"/>
      <w:marLeft w:val="0"/>
      <w:marRight w:val="0"/>
      <w:marTop w:val="0"/>
      <w:marBottom w:val="0"/>
      <w:divBdr>
        <w:top w:val="none" w:sz="0" w:space="0" w:color="auto"/>
        <w:left w:val="none" w:sz="0" w:space="0" w:color="auto"/>
        <w:bottom w:val="none" w:sz="0" w:space="0" w:color="auto"/>
        <w:right w:val="none" w:sz="0" w:space="0" w:color="auto"/>
      </w:divBdr>
    </w:div>
    <w:div w:id="515659663">
      <w:bodyDiv w:val="1"/>
      <w:marLeft w:val="0"/>
      <w:marRight w:val="0"/>
      <w:marTop w:val="0"/>
      <w:marBottom w:val="0"/>
      <w:divBdr>
        <w:top w:val="none" w:sz="0" w:space="0" w:color="auto"/>
        <w:left w:val="none" w:sz="0" w:space="0" w:color="auto"/>
        <w:bottom w:val="none" w:sz="0" w:space="0" w:color="auto"/>
        <w:right w:val="none" w:sz="0" w:space="0" w:color="auto"/>
      </w:divBdr>
    </w:div>
    <w:div w:id="521162664">
      <w:bodyDiv w:val="1"/>
      <w:marLeft w:val="0"/>
      <w:marRight w:val="0"/>
      <w:marTop w:val="0"/>
      <w:marBottom w:val="0"/>
      <w:divBdr>
        <w:top w:val="none" w:sz="0" w:space="0" w:color="auto"/>
        <w:left w:val="none" w:sz="0" w:space="0" w:color="auto"/>
        <w:bottom w:val="none" w:sz="0" w:space="0" w:color="auto"/>
        <w:right w:val="none" w:sz="0" w:space="0" w:color="auto"/>
      </w:divBdr>
    </w:div>
    <w:div w:id="531380114">
      <w:bodyDiv w:val="1"/>
      <w:marLeft w:val="0"/>
      <w:marRight w:val="0"/>
      <w:marTop w:val="0"/>
      <w:marBottom w:val="0"/>
      <w:divBdr>
        <w:top w:val="none" w:sz="0" w:space="0" w:color="auto"/>
        <w:left w:val="none" w:sz="0" w:space="0" w:color="auto"/>
        <w:bottom w:val="none" w:sz="0" w:space="0" w:color="auto"/>
        <w:right w:val="none" w:sz="0" w:space="0" w:color="auto"/>
      </w:divBdr>
    </w:div>
    <w:div w:id="534343513">
      <w:bodyDiv w:val="1"/>
      <w:marLeft w:val="0"/>
      <w:marRight w:val="0"/>
      <w:marTop w:val="0"/>
      <w:marBottom w:val="0"/>
      <w:divBdr>
        <w:top w:val="none" w:sz="0" w:space="0" w:color="auto"/>
        <w:left w:val="none" w:sz="0" w:space="0" w:color="auto"/>
        <w:bottom w:val="none" w:sz="0" w:space="0" w:color="auto"/>
        <w:right w:val="none" w:sz="0" w:space="0" w:color="auto"/>
      </w:divBdr>
    </w:div>
    <w:div w:id="536818075">
      <w:bodyDiv w:val="1"/>
      <w:marLeft w:val="0"/>
      <w:marRight w:val="0"/>
      <w:marTop w:val="0"/>
      <w:marBottom w:val="0"/>
      <w:divBdr>
        <w:top w:val="none" w:sz="0" w:space="0" w:color="auto"/>
        <w:left w:val="none" w:sz="0" w:space="0" w:color="auto"/>
        <w:bottom w:val="none" w:sz="0" w:space="0" w:color="auto"/>
        <w:right w:val="none" w:sz="0" w:space="0" w:color="auto"/>
      </w:divBdr>
    </w:div>
    <w:div w:id="542448612">
      <w:bodyDiv w:val="1"/>
      <w:marLeft w:val="0"/>
      <w:marRight w:val="0"/>
      <w:marTop w:val="0"/>
      <w:marBottom w:val="0"/>
      <w:divBdr>
        <w:top w:val="none" w:sz="0" w:space="0" w:color="auto"/>
        <w:left w:val="none" w:sz="0" w:space="0" w:color="auto"/>
        <w:bottom w:val="none" w:sz="0" w:space="0" w:color="auto"/>
        <w:right w:val="none" w:sz="0" w:space="0" w:color="auto"/>
      </w:divBdr>
    </w:div>
    <w:div w:id="548224614">
      <w:bodyDiv w:val="1"/>
      <w:marLeft w:val="0"/>
      <w:marRight w:val="0"/>
      <w:marTop w:val="0"/>
      <w:marBottom w:val="0"/>
      <w:divBdr>
        <w:top w:val="none" w:sz="0" w:space="0" w:color="auto"/>
        <w:left w:val="none" w:sz="0" w:space="0" w:color="auto"/>
        <w:bottom w:val="none" w:sz="0" w:space="0" w:color="auto"/>
        <w:right w:val="none" w:sz="0" w:space="0" w:color="auto"/>
      </w:divBdr>
    </w:div>
    <w:div w:id="549651587">
      <w:bodyDiv w:val="1"/>
      <w:marLeft w:val="0"/>
      <w:marRight w:val="0"/>
      <w:marTop w:val="0"/>
      <w:marBottom w:val="0"/>
      <w:divBdr>
        <w:top w:val="none" w:sz="0" w:space="0" w:color="auto"/>
        <w:left w:val="none" w:sz="0" w:space="0" w:color="auto"/>
        <w:bottom w:val="none" w:sz="0" w:space="0" w:color="auto"/>
        <w:right w:val="none" w:sz="0" w:space="0" w:color="auto"/>
      </w:divBdr>
    </w:div>
    <w:div w:id="554855181">
      <w:bodyDiv w:val="1"/>
      <w:marLeft w:val="0"/>
      <w:marRight w:val="0"/>
      <w:marTop w:val="0"/>
      <w:marBottom w:val="0"/>
      <w:divBdr>
        <w:top w:val="none" w:sz="0" w:space="0" w:color="auto"/>
        <w:left w:val="none" w:sz="0" w:space="0" w:color="auto"/>
        <w:bottom w:val="none" w:sz="0" w:space="0" w:color="auto"/>
        <w:right w:val="none" w:sz="0" w:space="0" w:color="auto"/>
      </w:divBdr>
    </w:div>
    <w:div w:id="556748274">
      <w:bodyDiv w:val="1"/>
      <w:marLeft w:val="0"/>
      <w:marRight w:val="0"/>
      <w:marTop w:val="0"/>
      <w:marBottom w:val="0"/>
      <w:divBdr>
        <w:top w:val="none" w:sz="0" w:space="0" w:color="auto"/>
        <w:left w:val="none" w:sz="0" w:space="0" w:color="auto"/>
        <w:bottom w:val="none" w:sz="0" w:space="0" w:color="auto"/>
        <w:right w:val="none" w:sz="0" w:space="0" w:color="auto"/>
      </w:divBdr>
    </w:div>
    <w:div w:id="570502450">
      <w:bodyDiv w:val="1"/>
      <w:marLeft w:val="0"/>
      <w:marRight w:val="0"/>
      <w:marTop w:val="0"/>
      <w:marBottom w:val="0"/>
      <w:divBdr>
        <w:top w:val="none" w:sz="0" w:space="0" w:color="auto"/>
        <w:left w:val="none" w:sz="0" w:space="0" w:color="auto"/>
        <w:bottom w:val="none" w:sz="0" w:space="0" w:color="auto"/>
        <w:right w:val="none" w:sz="0" w:space="0" w:color="auto"/>
      </w:divBdr>
    </w:div>
    <w:div w:id="577520046">
      <w:bodyDiv w:val="1"/>
      <w:marLeft w:val="0"/>
      <w:marRight w:val="0"/>
      <w:marTop w:val="0"/>
      <w:marBottom w:val="0"/>
      <w:divBdr>
        <w:top w:val="none" w:sz="0" w:space="0" w:color="auto"/>
        <w:left w:val="none" w:sz="0" w:space="0" w:color="auto"/>
        <w:bottom w:val="none" w:sz="0" w:space="0" w:color="auto"/>
        <w:right w:val="none" w:sz="0" w:space="0" w:color="auto"/>
      </w:divBdr>
    </w:div>
    <w:div w:id="581573797">
      <w:bodyDiv w:val="1"/>
      <w:marLeft w:val="0"/>
      <w:marRight w:val="0"/>
      <w:marTop w:val="0"/>
      <w:marBottom w:val="0"/>
      <w:divBdr>
        <w:top w:val="none" w:sz="0" w:space="0" w:color="auto"/>
        <w:left w:val="none" w:sz="0" w:space="0" w:color="auto"/>
        <w:bottom w:val="none" w:sz="0" w:space="0" w:color="auto"/>
        <w:right w:val="none" w:sz="0" w:space="0" w:color="auto"/>
      </w:divBdr>
    </w:div>
    <w:div w:id="597713077">
      <w:bodyDiv w:val="1"/>
      <w:marLeft w:val="0"/>
      <w:marRight w:val="0"/>
      <w:marTop w:val="0"/>
      <w:marBottom w:val="0"/>
      <w:divBdr>
        <w:top w:val="none" w:sz="0" w:space="0" w:color="auto"/>
        <w:left w:val="none" w:sz="0" w:space="0" w:color="auto"/>
        <w:bottom w:val="none" w:sz="0" w:space="0" w:color="auto"/>
        <w:right w:val="none" w:sz="0" w:space="0" w:color="auto"/>
      </w:divBdr>
    </w:div>
    <w:div w:id="598099176">
      <w:bodyDiv w:val="1"/>
      <w:marLeft w:val="0"/>
      <w:marRight w:val="0"/>
      <w:marTop w:val="0"/>
      <w:marBottom w:val="0"/>
      <w:divBdr>
        <w:top w:val="none" w:sz="0" w:space="0" w:color="auto"/>
        <w:left w:val="none" w:sz="0" w:space="0" w:color="auto"/>
        <w:bottom w:val="none" w:sz="0" w:space="0" w:color="auto"/>
        <w:right w:val="none" w:sz="0" w:space="0" w:color="auto"/>
      </w:divBdr>
      <w:divsChild>
        <w:div w:id="1613244359">
          <w:marLeft w:val="0"/>
          <w:marRight w:val="0"/>
          <w:marTop w:val="0"/>
          <w:marBottom w:val="0"/>
          <w:divBdr>
            <w:top w:val="none" w:sz="0" w:space="0" w:color="auto"/>
            <w:left w:val="none" w:sz="0" w:space="0" w:color="auto"/>
            <w:bottom w:val="none" w:sz="0" w:space="0" w:color="auto"/>
            <w:right w:val="none" w:sz="0" w:space="0" w:color="auto"/>
          </w:divBdr>
        </w:div>
      </w:divsChild>
    </w:div>
    <w:div w:id="607616315">
      <w:bodyDiv w:val="1"/>
      <w:marLeft w:val="0"/>
      <w:marRight w:val="0"/>
      <w:marTop w:val="0"/>
      <w:marBottom w:val="0"/>
      <w:divBdr>
        <w:top w:val="none" w:sz="0" w:space="0" w:color="auto"/>
        <w:left w:val="none" w:sz="0" w:space="0" w:color="auto"/>
        <w:bottom w:val="none" w:sz="0" w:space="0" w:color="auto"/>
        <w:right w:val="none" w:sz="0" w:space="0" w:color="auto"/>
      </w:divBdr>
      <w:divsChild>
        <w:div w:id="167869767">
          <w:marLeft w:val="0"/>
          <w:marRight w:val="0"/>
          <w:marTop w:val="0"/>
          <w:marBottom w:val="0"/>
          <w:divBdr>
            <w:top w:val="none" w:sz="0" w:space="0" w:color="auto"/>
            <w:left w:val="none" w:sz="0" w:space="0" w:color="auto"/>
            <w:bottom w:val="none" w:sz="0" w:space="0" w:color="auto"/>
            <w:right w:val="none" w:sz="0" w:space="0" w:color="auto"/>
          </w:divBdr>
          <w:divsChild>
            <w:div w:id="6016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2418">
      <w:bodyDiv w:val="1"/>
      <w:marLeft w:val="0"/>
      <w:marRight w:val="0"/>
      <w:marTop w:val="0"/>
      <w:marBottom w:val="0"/>
      <w:divBdr>
        <w:top w:val="none" w:sz="0" w:space="0" w:color="auto"/>
        <w:left w:val="none" w:sz="0" w:space="0" w:color="auto"/>
        <w:bottom w:val="none" w:sz="0" w:space="0" w:color="auto"/>
        <w:right w:val="none" w:sz="0" w:space="0" w:color="auto"/>
      </w:divBdr>
    </w:div>
    <w:div w:id="647320220">
      <w:bodyDiv w:val="1"/>
      <w:marLeft w:val="0"/>
      <w:marRight w:val="0"/>
      <w:marTop w:val="0"/>
      <w:marBottom w:val="0"/>
      <w:divBdr>
        <w:top w:val="none" w:sz="0" w:space="0" w:color="auto"/>
        <w:left w:val="none" w:sz="0" w:space="0" w:color="auto"/>
        <w:bottom w:val="none" w:sz="0" w:space="0" w:color="auto"/>
        <w:right w:val="none" w:sz="0" w:space="0" w:color="auto"/>
      </w:divBdr>
    </w:div>
    <w:div w:id="648437183">
      <w:bodyDiv w:val="1"/>
      <w:marLeft w:val="0"/>
      <w:marRight w:val="0"/>
      <w:marTop w:val="0"/>
      <w:marBottom w:val="0"/>
      <w:divBdr>
        <w:top w:val="none" w:sz="0" w:space="0" w:color="auto"/>
        <w:left w:val="none" w:sz="0" w:space="0" w:color="auto"/>
        <w:bottom w:val="none" w:sz="0" w:space="0" w:color="auto"/>
        <w:right w:val="none" w:sz="0" w:space="0" w:color="auto"/>
      </w:divBdr>
    </w:div>
    <w:div w:id="651912701">
      <w:bodyDiv w:val="1"/>
      <w:marLeft w:val="0"/>
      <w:marRight w:val="0"/>
      <w:marTop w:val="0"/>
      <w:marBottom w:val="0"/>
      <w:divBdr>
        <w:top w:val="none" w:sz="0" w:space="0" w:color="auto"/>
        <w:left w:val="none" w:sz="0" w:space="0" w:color="auto"/>
        <w:bottom w:val="none" w:sz="0" w:space="0" w:color="auto"/>
        <w:right w:val="none" w:sz="0" w:space="0" w:color="auto"/>
      </w:divBdr>
    </w:div>
    <w:div w:id="657072211">
      <w:bodyDiv w:val="1"/>
      <w:marLeft w:val="0"/>
      <w:marRight w:val="0"/>
      <w:marTop w:val="0"/>
      <w:marBottom w:val="0"/>
      <w:divBdr>
        <w:top w:val="none" w:sz="0" w:space="0" w:color="auto"/>
        <w:left w:val="none" w:sz="0" w:space="0" w:color="auto"/>
        <w:bottom w:val="none" w:sz="0" w:space="0" w:color="auto"/>
        <w:right w:val="none" w:sz="0" w:space="0" w:color="auto"/>
      </w:divBdr>
      <w:divsChild>
        <w:div w:id="780152573">
          <w:marLeft w:val="0"/>
          <w:marRight w:val="0"/>
          <w:marTop w:val="0"/>
          <w:marBottom w:val="0"/>
          <w:divBdr>
            <w:top w:val="none" w:sz="0" w:space="0" w:color="auto"/>
            <w:left w:val="none" w:sz="0" w:space="0" w:color="auto"/>
            <w:bottom w:val="none" w:sz="0" w:space="0" w:color="auto"/>
            <w:right w:val="none" w:sz="0" w:space="0" w:color="auto"/>
          </w:divBdr>
          <w:divsChild>
            <w:div w:id="610209561">
              <w:marLeft w:val="0"/>
              <w:marRight w:val="0"/>
              <w:marTop w:val="0"/>
              <w:marBottom w:val="0"/>
              <w:divBdr>
                <w:top w:val="none" w:sz="0" w:space="0" w:color="auto"/>
                <w:left w:val="none" w:sz="0" w:space="0" w:color="auto"/>
                <w:bottom w:val="none" w:sz="0" w:space="0" w:color="auto"/>
                <w:right w:val="none" w:sz="0" w:space="0" w:color="auto"/>
              </w:divBdr>
              <w:divsChild>
                <w:div w:id="1590310039">
                  <w:marLeft w:val="0"/>
                  <w:marRight w:val="0"/>
                  <w:marTop w:val="0"/>
                  <w:marBottom w:val="0"/>
                  <w:divBdr>
                    <w:top w:val="none" w:sz="0" w:space="0" w:color="auto"/>
                    <w:left w:val="none" w:sz="0" w:space="0" w:color="auto"/>
                    <w:bottom w:val="none" w:sz="0" w:space="0" w:color="auto"/>
                    <w:right w:val="none" w:sz="0" w:space="0" w:color="auto"/>
                  </w:divBdr>
                  <w:divsChild>
                    <w:div w:id="1179852741">
                      <w:marLeft w:val="0"/>
                      <w:marRight w:val="0"/>
                      <w:marTop w:val="0"/>
                      <w:marBottom w:val="0"/>
                      <w:divBdr>
                        <w:top w:val="none" w:sz="0" w:space="0" w:color="auto"/>
                        <w:left w:val="none" w:sz="0" w:space="0" w:color="auto"/>
                        <w:bottom w:val="none" w:sz="0" w:space="0" w:color="auto"/>
                        <w:right w:val="none" w:sz="0" w:space="0" w:color="auto"/>
                      </w:divBdr>
                      <w:divsChild>
                        <w:div w:id="17466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18357">
      <w:bodyDiv w:val="1"/>
      <w:marLeft w:val="0"/>
      <w:marRight w:val="0"/>
      <w:marTop w:val="0"/>
      <w:marBottom w:val="0"/>
      <w:divBdr>
        <w:top w:val="none" w:sz="0" w:space="0" w:color="auto"/>
        <w:left w:val="none" w:sz="0" w:space="0" w:color="auto"/>
        <w:bottom w:val="none" w:sz="0" w:space="0" w:color="auto"/>
        <w:right w:val="none" w:sz="0" w:space="0" w:color="auto"/>
      </w:divBdr>
    </w:div>
    <w:div w:id="664166179">
      <w:bodyDiv w:val="1"/>
      <w:marLeft w:val="0"/>
      <w:marRight w:val="0"/>
      <w:marTop w:val="0"/>
      <w:marBottom w:val="0"/>
      <w:divBdr>
        <w:top w:val="none" w:sz="0" w:space="0" w:color="auto"/>
        <w:left w:val="none" w:sz="0" w:space="0" w:color="auto"/>
        <w:bottom w:val="none" w:sz="0" w:space="0" w:color="auto"/>
        <w:right w:val="none" w:sz="0" w:space="0" w:color="auto"/>
      </w:divBdr>
    </w:div>
    <w:div w:id="669794337">
      <w:bodyDiv w:val="1"/>
      <w:marLeft w:val="0"/>
      <w:marRight w:val="0"/>
      <w:marTop w:val="0"/>
      <w:marBottom w:val="0"/>
      <w:divBdr>
        <w:top w:val="none" w:sz="0" w:space="0" w:color="auto"/>
        <w:left w:val="none" w:sz="0" w:space="0" w:color="auto"/>
        <w:bottom w:val="none" w:sz="0" w:space="0" w:color="auto"/>
        <w:right w:val="none" w:sz="0" w:space="0" w:color="auto"/>
      </w:divBdr>
      <w:divsChild>
        <w:div w:id="441463505">
          <w:marLeft w:val="0"/>
          <w:marRight w:val="0"/>
          <w:marTop w:val="0"/>
          <w:marBottom w:val="450"/>
          <w:divBdr>
            <w:top w:val="none" w:sz="0" w:space="0" w:color="auto"/>
            <w:left w:val="none" w:sz="0" w:space="0" w:color="auto"/>
            <w:bottom w:val="none" w:sz="0" w:space="0" w:color="auto"/>
            <w:right w:val="none" w:sz="0" w:space="0" w:color="auto"/>
          </w:divBdr>
        </w:div>
      </w:divsChild>
    </w:div>
    <w:div w:id="670914722">
      <w:bodyDiv w:val="1"/>
      <w:marLeft w:val="0"/>
      <w:marRight w:val="0"/>
      <w:marTop w:val="0"/>
      <w:marBottom w:val="0"/>
      <w:divBdr>
        <w:top w:val="none" w:sz="0" w:space="0" w:color="auto"/>
        <w:left w:val="none" w:sz="0" w:space="0" w:color="auto"/>
        <w:bottom w:val="none" w:sz="0" w:space="0" w:color="auto"/>
        <w:right w:val="none" w:sz="0" w:space="0" w:color="auto"/>
      </w:divBdr>
    </w:div>
    <w:div w:id="672299440">
      <w:bodyDiv w:val="1"/>
      <w:marLeft w:val="0"/>
      <w:marRight w:val="0"/>
      <w:marTop w:val="0"/>
      <w:marBottom w:val="0"/>
      <w:divBdr>
        <w:top w:val="none" w:sz="0" w:space="0" w:color="auto"/>
        <w:left w:val="none" w:sz="0" w:space="0" w:color="auto"/>
        <w:bottom w:val="none" w:sz="0" w:space="0" w:color="auto"/>
        <w:right w:val="none" w:sz="0" w:space="0" w:color="auto"/>
      </w:divBdr>
    </w:div>
    <w:div w:id="684135653">
      <w:bodyDiv w:val="1"/>
      <w:marLeft w:val="0"/>
      <w:marRight w:val="0"/>
      <w:marTop w:val="0"/>
      <w:marBottom w:val="0"/>
      <w:divBdr>
        <w:top w:val="none" w:sz="0" w:space="0" w:color="auto"/>
        <w:left w:val="none" w:sz="0" w:space="0" w:color="auto"/>
        <w:bottom w:val="none" w:sz="0" w:space="0" w:color="auto"/>
        <w:right w:val="none" w:sz="0" w:space="0" w:color="auto"/>
      </w:divBdr>
    </w:div>
    <w:div w:id="687029407">
      <w:bodyDiv w:val="1"/>
      <w:marLeft w:val="0"/>
      <w:marRight w:val="0"/>
      <w:marTop w:val="0"/>
      <w:marBottom w:val="0"/>
      <w:divBdr>
        <w:top w:val="none" w:sz="0" w:space="0" w:color="auto"/>
        <w:left w:val="none" w:sz="0" w:space="0" w:color="auto"/>
        <w:bottom w:val="none" w:sz="0" w:space="0" w:color="auto"/>
        <w:right w:val="none" w:sz="0" w:space="0" w:color="auto"/>
      </w:divBdr>
      <w:divsChild>
        <w:div w:id="1251891461">
          <w:marLeft w:val="0"/>
          <w:marRight w:val="0"/>
          <w:marTop w:val="0"/>
          <w:marBottom w:val="0"/>
          <w:divBdr>
            <w:top w:val="none" w:sz="0" w:space="0" w:color="auto"/>
            <w:left w:val="none" w:sz="0" w:space="0" w:color="auto"/>
            <w:bottom w:val="none" w:sz="0" w:space="0" w:color="auto"/>
            <w:right w:val="none" w:sz="0" w:space="0" w:color="auto"/>
          </w:divBdr>
          <w:divsChild>
            <w:div w:id="1890411302">
              <w:marLeft w:val="0"/>
              <w:marRight w:val="0"/>
              <w:marTop w:val="0"/>
              <w:marBottom w:val="0"/>
              <w:divBdr>
                <w:top w:val="none" w:sz="0" w:space="0" w:color="auto"/>
                <w:left w:val="none" w:sz="0" w:space="0" w:color="auto"/>
                <w:bottom w:val="none" w:sz="0" w:space="0" w:color="auto"/>
                <w:right w:val="none" w:sz="0" w:space="0" w:color="auto"/>
              </w:divBdr>
              <w:divsChild>
                <w:div w:id="1129593383">
                  <w:marLeft w:val="0"/>
                  <w:marRight w:val="0"/>
                  <w:marTop w:val="300"/>
                  <w:marBottom w:val="375"/>
                  <w:divBdr>
                    <w:top w:val="none" w:sz="0" w:space="0" w:color="auto"/>
                    <w:left w:val="none" w:sz="0" w:space="0" w:color="auto"/>
                    <w:bottom w:val="none" w:sz="0" w:space="0" w:color="auto"/>
                    <w:right w:val="none" w:sz="0" w:space="0" w:color="auto"/>
                  </w:divBdr>
                  <w:divsChild>
                    <w:div w:id="300111343">
                      <w:marLeft w:val="0"/>
                      <w:marRight w:val="0"/>
                      <w:marTop w:val="0"/>
                      <w:marBottom w:val="0"/>
                      <w:divBdr>
                        <w:top w:val="none" w:sz="0" w:space="0" w:color="auto"/>
                        <w:left w:val="none" w:sz="0" w:space="0" w:color="auto"/>
                        <w:bottom w:val="none" w:sz="0" w:space="0" w:color="auto"/>
                        <w:right w:val="none" w:sz="0" w:space="0" w:color="auto"/>
                      </w:divBdr>
                      <w:divsChild>
                        <w:div w:id="553195402">
                          <w:marLeft w:val="0"/>
                          <w:marRight w:val="0"/>
                          <w:marTop w:val="0"/>
                          <w:marBottom w:val="0"/>
                          <w:divBdr>
                            <w:top w:val="none" w:sz="0" w:space="0" w:color="auto"/>
                            <w:left w:val="none" w:sz="0" w:space="0" w:color="auto"/>
                            <w:bottom w:val="none" w:sz="0" w:space="0" w:color="auto"/>
                            <w:right w:val="none" w:sz="0" w:space="0" w:color="auto"/>
                          </w:divBdr>
                          <w:divsChild>
                            <w:div w:id="1177618680">
                              <w:marLeft w:val="0"/>
                              <w:marRight w:val="0"/>
                              <w:marTop w:val="0"/>
                              <w:marBottom w:val="0"/>
                              <w:divBdr>
                                <w:top w:val="none" w:sz="0" w:space="0" w:color="auto"/>
                                <w:left w:val="none" w:sz="0" w:space="0" w:color="auto"/>
                                <w:bottom w:val="none" w:sz="0" w:space="0" w:color="auto"/>
                                <w:right w:val="none" w:sz="0" w:space="0" w:color="auto"/>
                              </w:divBdr>
                              <w:divsChild>
                                <w:div w:id="7881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773294">
      <w:bodyDiv w:val="1"/>
      <w:marLeft w:val="0"/>
      <w:marRight w:val="0"/>
      <w:marTop w:val="0"/>
      <w:marBottom w:val="0"/>
      <w:divBdr>
        <w:top w:val="none" w:sz="0" w:space="0" w:color="auto"/>
        <w:left w:val="none" w:sz="0" w:space="0" w:color="auto"/>
        <w:bottom w:val="none" w:sz="0" w:space="0" w:color="auto"/>
        <w:right w:val="none" w:sz="0" w:space="0" w:color="auto"/>
      </w:divBdr>
    </w:div>
    <w:div w:id="698897817">
      <w:bodyDiv w:val="1"/>
      <w:marLeft w:val="0"/>
      <w:marRight w:val="0"/>
      <w:marTop w:val="0"/>
      <w:marBottom w:val="0"/>
      <w:divBdr>
        <w:top w:val="none" w:sz="0" w:space="0" w:color="auto"/>
        <w:left w:val="none" w:sz="0" w:space="0" w:color="auto"/>
        <w:bottom w:val="none" w:sz="0" w:space="0" w:color="auto"/>
        <w:right w:val="none" w:sz="0" w:space="0" w:color="auto"/>
      </w:divBdr>
      <w:divsChild>
        <w:div w:id="288711224">
          <w:marLeft w:val="0"/>
          <w:marRight w:val="0"/>
          <w:marTop w:val="0"/>
          <w:marBottom w:val="0"/>
          <w:divBdr>
            <w:top w:val="none" w:sz="0" w:space="0" w:color="auto"/>
            <w:left w:val="none" w:sz="0" w:space="0" w:color="auto"/>
            <w:bottom w:val="none" w:sz="0" w:space="0" w:color="auto"/>
            <w:right w:val="none" w:sz="0" w:space="0" w:color="auto"/>
          </w:divBdr>
        </w:div>
      </w:divsChild>
    </w:div>
    <w:div w:id="712655505">
      <w:bodyDiv w:val="1"/>
      <w:marLeft w:val="0"/>
      <w:marRight w:val="0"/>
      <w:marTop w:val="0"/>
      <w:marBottom w:val="0"/>
      <w:divBdr>
        <w:top w:val="none" w:sz="0" w:space="0" w:color="auto"/>
        <w:left w:val="none" w:sz="0" w:space="0" w:color="auto"/>
        <w:bottom w:val="none" w:sz="0" w:space="0" w:color="auto"/>
        <w:right w:val="none" w:sz="0" w:space="0" w:color="auto"/>
      </w:divBdr>
      <w:divsChild>
        <w:div w:id="1975523844">
          <w:marLeft w:val="0"/>
          <w:marRight w:val="0"/>
          <w:marTop w:val="0"/>
          <w:marBottom w:val="0"/>
          <w:divBdr>
            <w:top w:val="none" w:sz="0" w:space="0" w:color="auto"/>
            <w:left w:val="none" w:sz="0" w:space="0" w:color="auto"/>
            <w:bottom w:val="none" w:sz="0" w:space="0" w:color="auto"/>
            <w:right w:val="none" w:sz="0" w:space="0" w:color="auto"/>
          </w:divBdr>
          <w:divsChild>
            <w:div w:id="588582816">
              <w:marLeft w:val="0"/>
              <w:marRight w:val="0"/>
              <w:marTop w:val="0"/>
              <w:marBottom w:val="0"/>
              <w:divBdr>
                <w:top w:val="none" w:sz="0" w:space="0" w:color="auto"/>
                <w:left w:val="none" w:sz="0" w:space="0" w:color="auto"/>
                <w:bottom w:val="none" w:sz="0" w:space="0" w:color="auto"/>
                <w:right w:val="none" w:sz="0" w:space="0" w:color="auto"/>
              </w:divBdr>
              <w:divsChild>
                <w:div w:id="735855378">
                  <w:marLeft w:val="0"/>
                  <w:marRight w:val="0"/>
                  <w:marTop w:val="0"/>
                  <w:marBottom w:val="0"/>
                  <w:divBdr>
                    <w:top w:val="none" w:sz="0" w:space="0" w:color="auto"/>
                    <w:left w:val="none" w:sz="0" w:space="0" w:color="auto"/>
                    <w:bottom w:val="none" w:sz="0" w:space="0" w:color="auto"/>
                    <w:right w:val="none" w:sz="0" w:space="0" w:color="auto"/>
                  </w:divBdr>
                  <w:divsChild>
                    <w:div w:id="1356151460">
                      <w:marLeft w:val="-225"/>
                      <w:marRight w:val="-225"/>
                      <w:marTop w:val="0"/>
                      <w:marBottom w:val="0"/>
                      <w:divBdr>
                        <w:top w:val="none" w:sz="0" w:space="0" w:color="auto"/>
                        <w:left w:val="none" w:sz="0" w:space="0" w:color="auto"/>
                        <w:bottom w:val="none" w:sz="0" w:space="0" w:color="auto"/>
                        <w:right w:val="none" w:sz="0" w:space="0" w:color="auto"/>
                      </w:divBdr>
                      <w:divsChild>
                        <w:div w:id="779689531">
                          <w:marLeft w:val="0"/>
                          <w:marRight w:val="0"/>
                          <w:marTop w:val="0"/>
                          <w:marBottom w:val="0"/>
                          <w:divBdr>
                            <w:top w:val="none" w:sz="0" w:space="0" w:color="auto"/>
                            <w:left w:val="none" w:sz="0" w:space="0" w:color="auto"/>
                            <w:bottom w:val="none" w:sz="0" w:space="0" w:color="auto"/>
                            <w:right w:val="none" w:sz="0" w:space="0" w:color="auto"/>
                          </w:divBdr>
                          <w:divsChild>
                            <w:div w:id="364906958">
                              <w:marLeft w:val="0"/>
                              <w:marRight w:val="0"/>
                              <w:marTop w:val="0"/>
                              <w:marBottom w:val="0"/>
                              <w:divBdr>
                                <w:top w:val="none" w:sz="0" w:space="0" w:color="auto"/>
                                <w:left w:val="none" w:sz="0" w:space="0" w:color="auto"/>
                                <w:bottom w:val="none" w:sz="0" w:space="0" w:color="auto"/>
                                <w:right w:val="none" w:sz="0" w:space="0" w:color="auto"/>
                              </w:divBdr>
                              <w:divsChild>
                                <w:div w:id="1132593700">
                                  <w:marLeft w:val="0"/>
                                  <w:marRight w:val="0"/>
                                  <w:marTop w:val="0"/>
                                  <w:marBottom w:val="0"/>
                                  <w:divBdr>
                                    <w:top w:val="none" w:sz="0" w:space="0" w:color="auto"/>
                                    <w:left w:val="none" w:sz="0" w:space="0" w:color="auto"/>
                                    <w:bottom w:val="none" w:sz="0" w:space="0" w:color="auto"/>
                                    <w:right w:val="none" w:sz="0" w:space="0" w:color="auto"/>
                                  </w:divBdr>
                                  <w:divsChild>
                                    <w:div w:id="1970502920">
                                      <w:marLeft w:val="0"/>
                                      <w:marRight w:val="0"/>
                                      <w:marTop w:val="0"/>
                                      <w:marBottom w:val="0"/>
                                      <w:divBdr>
                                        <w:top w:val="none" w:sz="0" w:space="0" w:color="auto"/>
                                        <w:left w:val="none" w:sz="0" w:space="0" w:color="auto"/>
                                        <w:bottom w:val="none" w:sz="0" w:space="0" w:color="auto"/>
                                        <w:right w:val="none" w:sz="0" w:space="0" w:color="auto"/>
                                      </w:divBdr>
                                      <w:divsChild>
                                        <w:div w:id="1766151744">
                                          <w:marLeft w:val="0"/>
                                          <w:marRight w:val="0"/>
                                          <w:marTop w:val="0"/>
                                          <w:marBottom w:val="0"/>
                                          <w:divBdr>
                                            <w:top w:val="none" w:sz="0" w:space="0" w:color="auto"/>
                                            <w:left w:val="none" w:sz="0" w:space="0" w:color="auto"/>
                                            <w:bottom w:val="none" w:sz="0" w:space="0" w:color="auto"/>
                                            <w:right w:val="none" w:sz="0" w:space="0" w:color="auto"/>
                                          </w:divBdr>
                                          <w:divsChild>
                                            <w:div w:id="1975410244">
                                              <w:marLeft w:val="0"/>
                                              <w:marRight w:val="0"/>
                                              <w:marTop w:val="0"/>
                                              <w:marBottom w:val="0"/>
                                              <w:divBdr>
                                                <w:top w:val="none" w:sz="0" w:space="0" w:color="auto"/>
                                                <w:left w:val="none" w:sz="0" w:space="0" w:color="auto"/>
                                                <w:bottom w:val="none" w:sz="0" w:space="0" w:color="auto"/>
                                                <w:right w:val="none" w:sz="0" w:space="0" w:color="auto"/>
                                              </w:divBdr>
                                              <w:divsChild>
                                                <w:div w:id="1891837390">
                                                  <w:marLeft w:val="0"/>
                                                  <w:marRight w:val="0"/>
                                                  <w:marTop w:val="0"/>
                                                  <w:marBottom w:val="0"/>
                                                  <w:divBdr>
                                                    <w:top w:val="none" w:sz="0" w:space="0" w:color="auto"/>
                                                    <w:left w:val="none" w:sz="0" w:space="0" w:color="auto"/>
                                                    <w:bottom w:val="none" w:sz="0" w:space="0" w:color="auto"/>
                                                    <w:right w:val="none" w:sz="0" w:space="0" w:color="auto"/>
                                                  </w:divBdr>
                                                  <w:divsChild>
                                                    <w:div w:id="1042367285">
                                                      <w:marLeft w:val="0"/>
                                                      <w:marRight w:val="0"/>
                                                      <w:marTop w:val="0"/>
                                                      <w:marBottom w:val="0"/>
                                                      <w:divBdr>
                                                        <w:top w:val="none" w:sz="0" w:space="0" w:color="auto"/>
                                                        <w:left w:val="none" w:sz="0" w:space="0" w:color="auto"/>
                                                        <w:bottom w:val="none" w:sz="0" w:space="0" w:color="auto"/>
                                                        <w:right w:val="none" w:sz="0" w:space="0" w:color="auto"/>
                                                      </w:divBdr>
                                                      <w:divsChild>
                                                        <w:div w:id="146560044">
                                                          <w:marLeft w:val="0"/>
                                                          <w:marRight w:val="0"/>
                                                          <w:marTop w:val="0"/>
                                                          <w:marBottom w:val="0"/>
                                                          <w:divBdr>
                                                            <w:top w:val="none" w:sz="0" w:space="0" w:color="auto"/>
                                                            <w:left w:val="none" w:sz="0" w:space="0" w:color="auto"/>
                                                            <w:bottom w:val="none" w:sz="0" w:space="0" w:color="auto"/>
                                                            <w:right w:val="none" w:sz="0" w:space="0" w:color="auto"/>
                                                          </w:divBdr>
                                                          <w:divsChild>
                                                            <w:div w:id="1744109755">
                                                              <w:marLeft w:val="0"/>
                                                              <w:marRight w:val="0"/>
                                                              <w:marTop w:val="0"/>
                                                              <w:marBottom w:val="0"/>
                                                              <w:divBdr>
                                                                <w:top w:val="none" w:sz="0" w:space="0" w:color="auto"/>
                                                                <w:left w:val="none" w:sz="0" w:space="0" w:color="auto"/>
                                                                <w:bottom w:val="none" w:sz="0" w:space="0" w:color="auto"/>
                                                                <w:right w:val="none" w:sz="0" w:space="0" w:color="auto"/>
                                                              </w:divBdr>
                                                              <w:divsChild>
                                                                <w:div w:id="19838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095660">
      <w:bodyDiv w:val="1"/>
      <w:marLeft w:val="0"/>
      <w:marRight w:val="0"/>
      <w:marTop w:val="0"/>
      <w:marBottom w:val="0"/>
      <w:divBdr>
        <w:top w:val="none" w:sz="0" w:space="0" w:color="auto"/>
        <w:left w:val="none" w:sz="0" w:space="0" w:color="auto"/>
        <w:bottom w:val="none" w:sz="0" w:space="0" w:color="auto"/>
        <w:right w:val="none" w:sz="0" w:space="0" w:color="auto"/>
      </w:divBdr>
      <w:divsChild>
        <w:div w:id="156728480">
          <w:marLeft w:val="0"/>
          <w:marRight w:val="0"/>
          <w:marTop w:val="0"/>
          <w:marBottom w:val="0"/>
          <w:divBdr>
            <w:top w:val="none" w:sz="0" w:space="0" w:color="auto"/>
            <w:left w:val="none" w:sz="0" w:space="0" w:color="auto"/>
            <w:bottom w:val="none" w:sz="0" w:space="0" w:color="auto"/>
            <w:right w:val="none" w:sz="0" w:space="0" w:color="auto"/>
          </w:divBdr>
          <w:divsChild>
            <w:div w:id="1914896504">
              <w:marLeft w:val="-225"/>
              <w:marRight w:val="-225"/>
              <w:marTop w:val="0"/>
              <w:marBottom w:val="0"/>
              <w:divBdr>
                <w:top w:val="none" w:sz="0" w:space="0" w:color="auto"/>
                <w:left w:val="none" w:sz="0" w:space="0" w:color="auto"/>
                <w:bottom w:val="none" w:sz="0" w:space="0" w:color="auto"/>
                <w:right w:val="none" w:sz="0" w:space="0" w:color="auto"/>
              </w:divBdr>
              <w:divsChild>
                <w:div w:id="135634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91848">
      <w:bodyDiv w:val="1"/>
      <w:marLeft w:val="0"/>
      <w:marRight w:val="0"/>
      <w:marTop w:val="0"/>
      <w:marBottom w:val="0"/>
      <w:divBdr>
        <w:top w:val="none" w:sz="0" w:space="0" w:color="auto"/>
        <w:left w:val="none" w:sz="0" w:space="0" w:color="auto"/>
        <w:bottom w:val="none" w:sz="0" w:space="0" w:color="auto"/>
        <w:right w:val="none" w:sz="0" w:space="0" w:color="auto"/>
      </w:divBdr>
      <w:divsChild>
        <w:div w:id="589698355">
          <w:marLeft w:val="0"/>
          <w:marRight w:val="0"/>
          <w:marTop w:val="0"/>
          <w:marBottom w:val="0"/>
          <w:divBdr>
            <w:top w:val="none" w:sz="0" w:space="0" w:color="auto"/>
            <w:left w:val="none" w:sz="0" w:space="0" w:color="auto"/>
            <w:bottom w:val="none" w:sz="0" w:space="0" w:color="auto"/>
            <w:right w:val="none" w:sz="0" w:space="0" w:color="auto"/>
          </w:divBdr>
          <w:divsChild>
            <w:div w:id="1477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4906">
      <w:bodyDiv w:val="1"/>
      <w:marLeft w:val="0"/>
      <w:marRight w:val="0"/>
      <w:marTop w:val="0"/>
      <w:marBottom w:val="0"/>
      <w:divBdr>
        <w:top w:val="none" w:sz="0" w:space="0" w:color="auto"/>
        <w:left w:val="none" w:sz="0" w:space="0" w:color="auto"/>
        <w:bottom w:val="none" w:sz="0" w:space="0" w:color="auto"/>
        <w:right w:val="none" w:sz="0" w:space="0" w:color="auto"/>
      </w:divBdr>
      <w:divsChild>
        <w:div w:id="876891979">
          <w:marLeft w:val="0"/>
          <w:marRight w:val="0"/>
          <w:marTop w:val="0"/>
          <w:marBottom w:val="0"/>
          <w:divBdr>
            <w:top w:val="none" w:sz="0" w:space="0" w:color="auto"/>
            <w:left w:val="none" w:sz="0" w:space="0" w:color="auto"/>
            <w:bottom w:val="none" w:sz="0" w:space="0" w:color="auto"/>
            <w:right w:val="none" w:sz="0" w:space="0" w:color="auto"/>
          </w:divBdr>
          <w:divsChild>
            <w:div w:id="358286915">
              <w:marLeft w:val="0"/>
              <w:marRight w:val="0"/>
              <w:marTop w:val="0"/>
              <w:marBottom w:val="0"/>
              <w:divBdr>
                <w:top w:val="none" w:sz="0" w:space="0" w:color="auto"/>
                <w:left w:val="none" w:sz="0" w:space="0" w:color="auto"/>
                <w:bottom w:val="none" w:sz="0" w:space="0" w:color="auto"/>
                <w:right w:val="none" w:sz="0" w:space="0" w:color="auto"/>
              </w:divBdr>
              <w:divsChild>
                <w:div w:id="1152326992">
                  <w:marLeft w:val="0"/>
                  <w:marRight w:val="0"/>
                  <w:marTop w:val="0"/>
                  <w:marBottom w:val="0"/>
                  <w:divBdr>
                    <w:top w:val="none" w:sz="0" w:space="0" w:color="auto"/>
                    <w:left w:val="none" w:sz="0" w:space="0" w:color="auto"/>
                    <w:bottom w:val="none" w:sz="0" w:space="0" w:color="auto"/>
                    <w:right w:val="none" w:sz="0" w:space="0" w:color="auto"/>
                  </w:divBdr>
                </w:div>
              </w:divsChild>
            </w:div>
            <w:div w:id="10594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67089">
      <w:bodyDiv w:val="1"/>
      <w:marLeft w:val="0"/>
      <w:marRight w:val="0"/>
      <w:marTop w:val="0"/>
      <w:marBottom w:val="0"/>
      <w:divBdr>
        <w:top w:val="none" w:sz="0" w:space="0" w:color="auto"/>
        <w:left w:val="none" w:sz="0" w:space="0" w:color="auto"/>
        <w:bottom w:val="none" w:sz="0" w:space="0" w:color="auto"/>
        <w:right w:val="none" w:sz="0" w:space="0" w:color="auto"/>
      </w:divBdr>
    </w:div>
    <w:div w:id="725761261">
      <w:bodyDiv w:val="1"/>
      <w:marLeft w:val="0"/>
      <w:marRight w:val="0"/>
      <w:marTop w:val="0"/>
      <w:marBottom w:val="0"/>
      <w:divBdr>
        <w:top w:val="none" w:sz="0" w:space="0" w:color="auto"/>
        <w:left w:val="none" w:sz="0" w:space="0" w:color="auto"/>
        <w:bottom w:val="none" w:sz="0" w:space="0" w:color="auto"/>
        <w:right w:val="none" w:sz="0" w:space="0" w:color="auto"/>
      </w:divBdr>
      <w:divsChild>
        <w:div w:id="1415741186">
          <w:marLeft w:val="0"/>
          <w:marRight w:val="0"/>
          <w:marTop w:val="0"/>
          <w:marBottom w:val="0"/>
          <w:divBdr>
            <w:top w:val="none" w:sz="0" w:space="0" w:color="auto"/>
            <w:left w:val="none" w:sz="0" w:space="0" w:color="auto"/>
            <w:bottom w:val="none" w:sz="0" w:space="0" w:color="auto"/>
            <w:right w:val="none" w:sz="0" w:space="0" w:color="auto"/>
          </w:divBdr>
          <w:divsChild>
            <w:div w:id="21325179">
              <w:marLeft w:val="0"/>
              <w:marRight w:val="0"/>
              <w:marTop w:val="0"/>
              <w:marBottom w:val="0"/>
              <w:divBdr>
                <w:top w:val="none" w:sz="0" w:space="0" w:color="auto"/>
                <w:left w:val="none" w:sz="0" w:space="0" w:color="auto"/>
                <w:bottom w:val="none" w:sz="0" w:space="0" w:color="auto"/>
                <w:right w:val="none" w:sz="0" w:space="0" w:color="auto"/>
              </w:divBdr>
              <w:divsChild>
                <w:div w:id="1685130524">
                  <w:marLeft w:val="0"/>
                  <w:marRight w:val="0"/>
                  <w:marTop w:val="0"/>
                  <w:marBottom w:val="0"/>
                  <w:divBdr>
                    <w:top w:val="none" w:sz="0" w:space="0" w:color="auto"/>
                    <w:left w:val="none" w:sz="0" w:space="0" w:color="auto"/>
                    <w:bottom w:val="none" w:sz="0" w:space="0" w:color="auto"/>
                    <w:right w:val="none" w:sz="0" w:space="0" w:color="auto"/>
                  </w:divBdr>
                  <w:divsChild>
                    <w:div w:id="724522950">
                      <w:marLeft w:val="0"/>
                      <w:marRight w:val="0"/>
                      <w:marTop w:val="0"/>
                      <w:marBottom w:val="0"/>
                      <w:divBdr>
                        <w:top w:val="none" w:sz="0" w:space="0" w:color="auto"/>
                        <w:left w:val="none" w:sz="0" w:space="0" w:color="auto"/>
                        <w:bottom w:val="none" w:sz="0" w:space="0" w:color="auto"/>
                        <w:right w:val="none" w:sz="0" w:space="0" w:color="auto"/>
                      </w:divBdr>
                      <w:divsChild>
                        <w:div w:id="972905209">
                          <w:marLeft w:val="0"/>
                          <w:marRight w:val="0"/>
                          <w:marTop w:val="0"/>
                          <w:marBottom w:val="0"/>
                          <w:divBdr>
                            <w:top w:val="none" w:sz="0" w:space="0" w:color="auto"/>
                            <w:left w:val="none" w:sz="0" w:space="0" w:color="auto"/>
                            <w:bottom w:val="none" w:sz="0" w:space="0" w:color="auto"/>
                            <w:right w:val="none" w:sz="0" w:space="0" w:color="auto"/>
                          </w:divBdr>
                          <w:divsChild>
                            <w:div w:id="278336618">
                              <w:marLeft w:val="0"/>
                              <w:marRight w:val="0"/>
                              <w:marTop w:val="0"/>
                              <w:marBottom w:val="0"/>
                              <w:divBdr>
                                <w:top w:val="none" w:sz="0" w:space="0" w:color="auto"/>
                                <w:left w:val="none" w:sz="0" w:space="0" w:color="auto"/>
                                <w:bottom w:val="none" w:sz="0" w:space="0" w:color="auto"/>
                                <w:right w:val="none" w:sz="0" w:space="0" w:color="auto"/>
                              </w:divBdr>
                              <w:divsChild>
                                <w:div w:id="33095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377711">
      <w:bodyDiv w:val="1"/>
      <w:marLeft w:val="0"/>
      <w:marRight w:val="0"/>
      <w:marTop w:val="0"/>
      <w:marBottom w:val="0"/>
      <w:divBdr>
        <w:top w:val="none" w:sz="0" w:space="0" w:color="auto"/>
        <w:left w:val="none" w:sz="0" w:space="0" w:color="auto"/>
        <w:bottom w:val="none" w:sz="0" w:space="0" w:color="auto"/>
        <w:right w:val="none" w:sz="0" w:space="0" w:color="auto"/>
      </w:divBdr>
    </w:div>
    <w:div w:id="739136784">
      <w:bodyDiv w:val="1"/>
      <w:marLeft w:val="0"/>
      <w:marRight w:val="0"/>
      <w:marTop w:val="0"/>
      <w:marBottom w:val="0"/>
      <w:divBdr>
        <w:top w:val="none" w:sz="0" w:space="0" w:color="auto"/>
        <w:left w:val="none" w:sz="0" w:space="0" w:color="auto"/>
        <w:bottom w:val="none" w:sz="0" w:space="0" w:color="auto"/>
        <w:right w:val="none" w:sz="0" w:space="0" w:color="auto"/>
      </w:divBdr>
    </w:div>
    <w:div w:id="742140016">
      <w:bodyDiv w:val="1"/>
      <w:marLeft w:val="0"/>
      <w:marRight w:val="0"/>
      <w:marTop w:val="0"/>
      <w:marBottom w:val="0"/>
      <w:divBdr>
        <w:top w:val="none" w:sz="0" w:space="0" w:color="auto"/>
        <w:left w:val="none" w:sz="0" w:space="0" w:color="auto"/>
        <w:bottom w:val="none" w:sz="0" w:space="0" w:color="auto"/>
        <w:right w:val="none" w:sz="0" w:space="0" w:color="auto"/>
      </w:divBdr>
      <w:divsChild>
        <w:div w:id="2001229976">
          <w:marLeft w:val="0"/>
          <w:marRight w:val="0"/>
          <w:marTop w:val="0"/>
          <w:marBottom w:val="0"/>
          <w:divBdr>
            <w:top w:val="none" w:sz="0" w:space="0" w:color="auto"/>
            <w:left w:val="none" w:sz="0" w:space="0" w:color="auto"/>
            <w:bottom w:val="none" w:sz="0" w:space="0" w:color="auto"/>
            <w:right w:val="none" w:sz="0" w:space="0" w:color="auto"/>
          </w:divBdr>
          <w:divsChild>
            <w:div w:id="865216391">
              <w:marLeft w:val="0"/>
              <w:marRight w:val="0"/>
              <w:marTop w:val="0"/>
              <w:marBottom w:val="0"/>
              <w:divBdr>
                <w:top w:val="none" w:sz="0" w:space="0" w:color="auto"/>
                <w:left w:val="none" w:sz="0" w:space="0" w:color="auto"/>
                <w:bottom w:val="none" w:sz="0" w:space="0" w:color="auto"/>
                <w:right w:val="none" w:sz="0" w:space="0" w:color="auto"/>
              </w:divBdr>
              <w:divsChild>
                <w:div w:id="158441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2988596">
      <w:bodyDiv w:val="1"/>
      <w:marLeft w:val="0"/>
      <w:marRight w:val="0"/>
      <w:marTop w:val="0"/>
      <w:marBottom w:val="0"/>
      <w:divBdr>
        <w:top w:val="none" w:sz="0" w:space="0" w:color="auto"/>
        <w:left w:val="none" w:sz="0" w:space="0" w:color="auto"/>
        <w:bottom w:val="none" w:sz="0" w:space="0" w:color="auto"/>
        <w:right w:val="none" w:sz="0" w:space="0" w:color="auto"/>
      </w:divBdr>
    </w:div>
    <w:div w:id="751046440">
      <w:bodyDiv w:val="1"/>
      <w:marLeft w:val="0"/>
      <w:marRight w:val="0"/>
      <w:marTop w:val="0"/>
      <w:marBottom w:val="0"/>
      <w:divBdr>
        <w:top w:val="none" w:sz="0" w:space="0" w:color="auto"/>
        <w:left w:val="none" w:sz="0" w:space="0" w:color="auto"/>
        <w:bottom w:val="none" w:sz="0" w:space="0" w:color="auto"/>
        <w:right w:val="none" w:sz="0" w:space="0" w:color="auto"/>
      </w:divBdr>
      <w:divsChild>
        <w:div w:id="1084645781">
          <w:marLeft w:val="0"/>
          <w:marRight w:val="0"/>
          <w:marTop w:val="100"/>
          <w:marBottom w:val="100"/>
          <w:divBdr>
            <w:top w:val="none" w:sz="0" w:space="0" w:color="auto"/>
            <w:left w:val="none" w:sz="0" w:space="0" w:color="auto"/>
            <w:bottom w:val="none" w:sz="0" w:space="0" w:color="auto"/>
            <w:right w:val="none" w:sz="0" w:space="0" w:color="auto"/>
          </w:divBdr>
          <w:divsChild>
            <w:div w:id="929049925">
              <w:marLeft w:val="0"/>
              <w:marRight w:val="0"/>
              <w:marTop w:val="0"/>
              <w:marBottom w:val="0"/>
              <w:divBdr>
                <w:top w:val="none" w:sz="0" w:space="0" w:color="auto"/>
                <w:left w:val="none" w:sz="0" w:space="0" w:color="auto"/>
                <w:bottom w:val="none" w:sz="0" w:space="0" w:color="auto"/>
                <w:right w:val="none" w:sz="0" w:space="0" w:color="auto"/>
              </w:divBdr>
              <w:divsChild>
                <w:div w:id="1765539984">
                  <w:marLeft w:val="0"/>
                  <w:marRight w:val="0"/>
                  <w:marTop w:val="100"/>
                  <w:marBottom w:val="100"/>
                  <w:divBdr>
                    <w:top w:val="none" w:sz="0" w:space="0" w:color="auto"/>
                    <w:left w:val="none" w:sz="0" w:space="0" w:color="auto"/>
                    <w:bottom w:val="none" w:sz="0" w:space="0" w:color="auto"/>
                    <w:right w:val="none" w:sz="0" w:space="0" w:color="auto"/>
                  </w:divBdr>
                  <w:divsChild>
                    <w:div w:id="264925775">
                      <w:marLeft w:val="0"/>
                      <w:marRight w:val="0"/>
                      <w:marTop w:val="0"/>
                      <w:marBottom w:val="0"/>
                      <w:divBdr>
                        <w:top w:val="none" w:sz="0" w:space="0" w:color="auto"/>
                        <w:left w:val="none" w:sz="0" w:space="0" w:color="auto"/>
                        <w:bottom w:val="none" w:sz="0" w:space="0" w:color="auto"/>
                        <w:right w:val="none" w:sz="0" w:space="0" w:color="auto"/>
                      </w:divBdr>
                    </w:div>
                  </w:divsChild>
                </w:div>
                <w:div w:id="2118215427">
                  <w:marLeft w:val="0"/>
                  <w:marRight w:val="0"/>
                  <w:marTop w:val="100"/>
                  <w:marBottom w:val="100"/>
                  <w:divBdr>
                    <w:top w:val="none" w:sz="0" w:space="0" w:color="auto"/>
                    <w:left w:val="none" w:sz="0" w:space="0" w:color="auto"/>
                    <w:bottom w:val="none" w:sz="0" w:space="0" w:color="auto"/>
                    <w:right w:val="none" w:sz="0" w:space="0" w:color="auto"/>
                  </w:divBdr>
                  <w:divsChild>
                    <w:div w:id="216163358">
                      <w:marLeft w:val="0"/>
                      <w:marRight w:val="0"/>
                      <w:marTop w:val="0"/>
                      <w:marBottom w:val="0"/>
                      <w:divBdr>
                        <w:top w:val="none" w:sz="0" w:space="0" w:color="auto"/>
                        <w:left w:val="none" w:sz="0" w:space="0" w:color="auto"/>
                        <w:bottom w:val="none" w:sz="0" w:space="0" w:color="auto"/>
                        <w:right w:val="none" w:sz="0" w:space="0" w:color="auto"/>
                      </w:divBdr>
                    </w:div>
                  </w:divsChild>
                </w:div>
                <w:div w:id="1393504070">
                  <w:marLeft w:val="0"/>
                  <w:marRight w:val="0"/>
                  <w:marTop w:val="100"/>
                  <w:marBottom w:val="100"/>
                  <w:divBdr>
                    <w:top w:val="none" w:sz="0" w:space="0" w:color="auto"/>
                    <w:left w:val="none" w:sz="0" w:space="0" w:color="auto"/>
                    <w:bottom w:val="none" w:sz="0" w:space="0" w:color="auto"/>
                    <w:right w:val="none" w:sz="0" w:space="0" w:color="auto"/>
                  </w:divBdr>
                  <w:divsChild>
                    <w:div w:id="398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51065">
          <w:marLeft w:val="0"/>
          <w:marRight w:val="0"/>
          <w:marTop w:val="0"/>
          <w:marBottom w:val="0"/>
          <w:divBdr>
            <w:top w:val="none" w:sz="0" w:space="0" w:color="auto"/>
            <w:left w:val="none" w:sz="0" w:space="0" w:color="auto"/>
            <w:bottom w:val="none" w:sz="0" w:space="0" w:color="auto"/>
            <w:right w:val="none" w:sz="0" w:space="0" w:color="auto"/>
          </w:divBdr>
          <w:divsChild>
            <w:div w:id="96562550">
              <w:marLeft w:val="0"/>
              <w:marRight w:val="0"/>
              <w:marTop w:val="0"/>
              <w:marBottom w:val="0"/>
              <w:divBdr>
                <w:top w:val="none" w:sz="0" w:space="0" w:color="auto"/>
                <w:left w:val="none" w:sz="0" w:space="0" w:color="auto"/>
                <w:bottom w:val="none" w:sz="0" w:space="0" w:color="auto"/>
                <w:right w:val="none" w:sz="0" w:space="0" w:color="auto"/>
              </w:divBdr>
              <w:divsChild>
                <w:div w:id="1021398926">
                  <w:marLeft w:val="0"/>
                  <w:marRight w:val="0"/>
                  <w:marTop w:val="0"/>
                  <w:marBottom w:val="0"/>
                  <w:divBdr>
                    <w:top w:val="none" w:sz="0" w:space="0" w:color="auto"/>
                    <w:left w:val="none" w:sz="0" w:space="0" w:color="auto"/>
                    <w:bottom w:val="single" w:sz="6" w:space="4" w:color="808080"/>
                    <w:right w:val="none" w:sz="0" w:space="0" w:color="auto"/>
                  </w:divBdr>
                </w:div>
                <w:div w:id="629357065">
                  <w:marLeft w:val="150"/>
                  <w:marRight w:val="150"/>
                  <w:marTop w:val="300"/>
                  <w:marBottom w:val="150"/>
                  <w:divBdr>
                    <w:top w:val="none" w:sz="0" w:space="0" w:color="auto"/>
                    <w:left w:val="none" w:sz="0" w:space="0" w:color="auto"/>
                    <w:bottom w:val="none" w:sz="0" w:space="0" w:color="auto"/>
                    <w:right w:val="none" w:sz="0" w:space="0" w:color="auto"/>
                  </w:divBdr>
                </w:div>
              </w:divsChild>
            </w:div>
            <w:div w:id="16910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7479">
      <w:bodyDiv w:val="1"/>
      <w:marLeft w:val="0"/>
      <w:marRight w:val="0"/>
      <w:marTop w:val="0"/>
      <w:marBottom w:val="0"/>
      <w:divBdr>
        <w:top w:val="none" w:sz="0" w:space="0" w:color="auto"/>
        <w:left w:val="none" w:sz="0" w:space="0" w:color="auto"/>
        <w:bottom w:val="none" w:sz="0" w:space="0" w:color="auto"/>
        <w:right w:val="none" w:sz="0" w:space="0" w:color="auto"/>
      </w:divBdr>
    </w:div>
    <w:div w:id="754017490">
      <w:marLeft w:val="0"/>
      <w:marRight w:val="0"/>
      <w:marTop w:val="0"/>
      <w:marBottom w:val="0"/>
      <w:divBdr>
        <w:top w:val="none" w:sz="0" w:space="0" w:color="auto"/>
        <w:left w:val="none" w:sz="0" w:space="0" w:color="auto"/>
        <w:bottom w:val="none" w:sz="0" w:space="0" w:color="auto"/>
        <w:right w:val="none" w:sz="0" w:space="0" w:color="auto"/>
      </w:divBdr>
      <w:divsChild>
        <w:div w:id="1584801919">
          <w:marLeft w:val="0"/>
          <w:marRight w:val="0"/>
          <w:marTop w:val="0"/>
          <w:marBottom w:val="0"/>
          <w:divBdr>
            <w:top w:val="none" w:sz="0" w:space="0" w:color="auto"/>
            <w:left w:val="none" w:sz="0" w:space="0" w:color="auto"/>
            <w:bottom w:val="none" w:sz="0" w:space="0" w:color="auto"/>
            <w:right w:val="none" w:sz="0" w:space="0" w:color="auto"/>
          </w:divBdr>
        </w:div>
        <w:div w:id="739862920">
          <w:marLeft w:val="0"/>
          <w:marRight w:val="0"/>
          <w:marTop w:val="0"/>
          <w:marBottom w:val="0"/>
          <w:divBdr>
            <w:top w:val="none" w:sz="0" w:space="0" w:color="auto"/>
            <w:left w:val="none" w:sz="0" w:space="0" w:color="auto"/>
            <w:bottom w:val="none" w:sz="0" w:space="0" w:color="auto"/>
            <w:right w:val="none" w:sz="0" w:space="0" w:color="auto"/>
          </w:divBdr>
        </w:div>
        <w:div w:id="856189252">
          <w:marLeft w:val="0"/>
          <w:marRight w:val="0"/>
          <w:marTop w:val="0"/>
          <w:marBottom w:val="0"/>
          <w:divBdr>
            <w:top w:val="none" w:sz="0" w:space="0" w:color="auto"/>
            <w:left w:val="none" w:sz="0" w:space="0" w:color="auto"/>
            <w:bottom w:val="none" w:sz="0" w:space="0" w:color="auto"/>
            <w:right w:val="none" w:sz="0" w:space="0" w:color="auto"/>
          </w:divBdr>
        </w:div>
        <w:div w:id="1322780343">
          <w:marLeft w:val="0"/>
          <w:marRight w:val="0"/>
          <w:marTop w:val="0"/>
          <w:marBottom w:val="0"/>
          <w:divBdr>
            <w:top w:val="none" w:sz="0" w:space="0" w:color="auto"/>
            <w:left w:val="none" w:sz="0" w:space="0" w:color="auto"/>
            <w:bottom w:val="none" w:sz="0" w:space="0" w:color="auto"/>
            <w:right w:val="none" w:sz="0" w:space="0" w:color="auto"/>
          </w:divBdr>
          <w:divsChild>
            <w:div w:id="1543862359">
              <w:marLeft w:val="0"/>
              <w:marRight w:val="0"/>
              <w:marTop w:val="0"/>
              <w:marBottom w:val="0"/>
              <w:divBdr>
                <w:top w:val="none" w:sz="0" w:space="0" w:color="auto"/>
                <w:left w:val="none" w:sz="0" w:space="0" w:color="auto"/>
                <w:bottom w:val="none" w:sz="0" w:space="0" w:color="auto"/>
                <w:right w:val="none" w:sz="0" w:space="0" w:color="auto"/>
              </w:divBdr>
              <w:divsChild>
                <w:div w:id="1937446250">
                  <w:marLeft w:val="0"/>
                  <w:marRight w:val="0"/>
                  <w:marTop w:val="0"/>
                  <w:marBottom w:val="0"/>
                  <w:divBdr>
                    <w:top w:val="none" w:sz="0" w:space="0" w:color="auto"/>
                    <w:left w:val="none" w:sz="0" w:space="0" w:color="auto"/>
                    <w:bottom w:val="none" w:sz="0" w:space="0" w:color="auto"/>
                    <w:right w:val="none" w:sz="0" w:space="0" w:color="auto"/>
                  </w:divBdr>
                </w:div>
                <w:div w:id="6112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90970">
          <w:marLeft w:val="0"/>
          <w:marRight w:val="0"/>
          <w:marTop w:val="0"/>
          <w:marBottom w:val="0"/>
          <w:divBdr>
            <w:top w:val="none" w:sz="0" w:space="0" w:color="auto"/>
            <w:left w:val="none" w:sz="0" w:space="0" w:color="auto"/>
            <w:bottom w:val="none" w:sz="0" w:space="0" w:color="auto"/>
            <w:right w:val="none" w:sz="0" w:space="0" w:color="auto"/>
          </w:divBdr>
          <w:divsChild>
            <w:div w:id="1369138533">
              <w:marLeft w:val="0"/>
              <w:marRight w:val="0"/>
              <w:marTop w:val="0"/>
              <w:marBottom w:val="0"/>
              <w:divBdr>
                <w:top w:val="none" w:sz="0" w:space="0" w:color="auto"/>
                <w:left w:val="none" w:sz="0" w:space="0" w:color="auto"/>
                <w:bottom w:val="none" w:sz="0" w:space="0" w:color="auto"/>
                <w:right w:val="none" w:sz="0" w:space="0" w:color="auto"/>
              </w:divBdr>
              <w:divsChild>
                <w:div w:id="509217501">
                  <w:marLeft w:val="0"/>
                  <w:marRight w:val="0"/>
                  <w:marTop w:val="0"/>
                  <w:marBottom w:val="0"/>
                  <w:divBdr>
                    <w:top w:val="none" w:sz="0" w:space="0" w:color="auto"/>
                    <w:left w:val="none" w:sz="0" w:space="0" w:color="auto"/>
                    <w:bottom w:val="none" w:sz="0" w:space="0" w:color="auto"/>
                    <w:right w:val="none" w:sz="0" w:space="0" w:color="auto"/>
                  </w:divBdr>
                </w:div>
                <w:div w:id="1341811334">
                  <w:marLeft w:val="0"/>
                  <w:marRight w:val="0"/>
                  <w:marTop w:val="0"/>
                  <w:marBottom w:val="0"/>
                  <w:divBdr>
                    <w:top w:val="none" w:sz="0" w:space="0" w:color="auto"/>
                    <w:left w:val="none" w:sz="0" w:space="0" w:color="auto"/>
                    <w:bottom w:val="none" w:sz="0" w:space="0" w:color="auto"/>
                    <w:right w:val="none" w:sz="0" w:space="0" w:color="auto"/>
                  </w:divBdr>
                </w:div>
                <w:div w:id="11484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7967">
          <w:marLeft w:val="0"/>
          <w:marRight w:val="0"/>
          <w:marTop w:val="0"/>
          <w:marBottom w:val="0"/>
          <w:divBdr>
            <w:top w:val="none" w:sz="0" w:space="0" w:color="auto"/>
            <w:left w:val="none" w:sz="0" w:space="0" w:color="auto"/>
            <w:bottom w:val="none" w:sz="0" w:space="0" w:color="auto"/>
            <w:right w:val="none" w:sz="0" w:space="0" w:color="auto"/>
          </w:divBdr>
          <w:divsChild>
            <w:div w:id="1331254068">
              <w:marLeft w:val="0"/>
              <w:marRight w:val="0"/>
              <w:marTop w:val="0"/>
              <w:marBottom w:val="0"/>
              <w:divBdr>
                <w:top w:val="none" w:sz="0" w:space="0" w:color="auto"/>
                <w:left w:val="none" w:sz="0" w:space="0" w:color="auto"/>
                <w:bottom w:val="none" w:sz="0" w:space="0" w:color="auto"/>
                <w:right w:val="none" w:sz="0" w:space="0" w:color="auto"/>
              </w:divBdr>
              <w:divsChild>
                <w:div w:id="1850681840">
                  <w:marLeft w:val="0"/>
                  <w:marRight w:val="0"/>
                  <w:marTop w:val="0"/>
                  <w:marBottom w:val="0"/>
                  <w:divBdr>
                    <w:top w:val="none" w:sz="0" w:space="0" w:color="auto"/>
                    <w:left w:val="none" w:sz="0" w:space="0" w:color="auto"/>
                    <w:bottom w:val="none" w:sz="0" w:space="0" w:color="auto"/>
                    <w:right w:val="none" w:sz="0" w:space="0" w:color="auto"/>
                  </w:divBdr>
                </w:div>
                <w:div w:id="199748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4285">
      <w:bodyDiv w:val="1"/>
      <w:marLeft w:val="0"/>
      <w:marRight w:val="0"/>
      <w:marTop w:val="0"/>
      <w:marBottom w:val="0"/>
      <w:divBdr>
        <w:top w:val="none" w:sz="0" w:space="0" w:color="auto"/>
        <w:left w:val="none" w:sz="0" w:space="0" w:color="auto"/>
        <w:bottom w:val="none" w:sz="0" w:space="0" w:color="auto"/>
        <w:right w:val="none" w:sz="0" w:space="0" w:color="auto"/>
      </w:divBdr>
    </w:div>
    <w:div w:id="759571125">
      <w:bodyDiv w:val="1"/>
      <w:marLeft w:val="0"/>
      <w:marRight w:val="0"/>
      <w:marTop w:val="0"/>
      <w:marBottom w:val="0"/>
      <w:divBdr>
        <w:top w:val="none" w:sz="0" w:space="0" w:color="auto"/>
        <w:left w:val="none" w:sz="0" w:space="0" w:color="auto"/>
        <w:bottom w:val="none" w:sz="0" w:space="0" w:color="auto"/>
        <w:right w:val="none" w:sz="0" w:space="0" w:color="auto"/>
      </w:divBdr>
    </w:div>
    <w:div w:id="771244519">
      <w:bodyDiv w:val="1"/>
      <w:marLeft w:val="0"/>
      <w:marRight w:val="0"/>
      <w:marTop w:val="0"/>
      <w:marBottom w:val="0"/>
      <w:divBdr>
        <w:top w:val="none" w:sz="0" w:space="0" w:color="auto"/>
        <w:left w:val="none" w:sz="0" w:space="0" w:color="auto"/>
        <w:bottom w:val="none" w:sz="0" w:space="0" w:color="auto"/>
        <w:right w:val="none" w:sz="0" w:space="0" w:color="auto"/>
      </w:divBdr>
    </w:div>
    <w:div w:id="783233600">
      <w:bodyDiv w:val="1"/>
      <w:marLeft w:val="0"/>
      <w:marRight w:val="0"/>
      <w:marTop w:val="0"/>
      <w:marBottom w:val="0"/>
      <w:divBdr>
        <w:top w:val="none" w:sz="0" w:space="0" w:color="auto"/>
        <w:left w:val="none" w:sz="0" w:space="0" w:color="auto"/>
        <w:bottom w:val="none" w:sz="0" w:space="0" w:color="auto"/>
        <w:right w:val="none" w:sz="0" w:space="0" w:color="auto"/>
      </w:divBdr>
    </w:div>
    <w:div w:id="792675558">
      <w:bodyDiv w:val="1"/>
      <w:marLeft w:val="0"/>
      <w:marRight w:val="0"/>
      <w:marTop w:val="0"/>
      <w:marBottom w:val="0"/>
      <w:divBdr>
        <w:top w:val="none" w:sz="0" w:space="0" w:color="auto"/>
        <w:left w:val="none" w:sz="0" w:space="0" w:color="auto"/>
        <w:bottom w:val="none" w:sz="0" w:space="0" w:color="auto"/>
        <w:right w:val="none" w:sz="0" w:space="0" w:color="auto"/>
      </w:divBdr>
    </w:div>
    <w:div w:id="824011116">
      <w:bodyDiv w:val="1"/>
      <w:marLeft w:val="0"/>
      <w:marRight w:val="0"/>
      <w:marTop w:val="0"/>
      <w:marBottom w:val="0"/>
      <w:divBdr>
        <w:top w:val="none" w:sz="0" w:space="0" w:color="auto"/>
        <w:left w:val="none" w:sz="0" w:space="0" w:color="auto"/>
        <w:bottom w:val="none" w:sz="0" w:space="0" w:color="auto"/>
        <w:right w:val="none" w:sz="0" w:space="0" w:color="auto"/>
      </w:divBdr>
    </w:div>
    <w:div w:id="834953978">
      <w:bodyDiv w:val="1"/>
      <w:marLeft w:val="0"/>
      <w:marRight w:val="0"/>
      <w:marTop w:val="0"/>
      <w:marBottom w:val="0"/>
      <w:divBdr>
        <w:top w:val="none" w:sz="0" w:space="0" w:color="auto"/>
        <w:left w:val="none" w:sz="0" w:space="0" w:color="auto"/>
        <w:bottom w:val="none" w:sz="0" w:space="0" w:color="auto"/>
        <w:right w:val="none" w:sz="0" w:space="0" w:color="auto"/>
      </w:divBdr>
    </w:div>
    <w:div w:id="838080755">
      <w:bodyDiv w:val="1"/>
      <w:marLeft w:val="0"/>
      <w:marRight w:val="0"/>
      <w:marTop w:val="0"/>
      <w:marBottom w:val="0"/>
      <w:divBdr>
        <w:top w:val="none" w:sz="0" w:space="0" w:color="auto"/>
        <w:left w:val="none" w:sz="0" w:space="0" w:color="auto"/>
        <w:bottom w:val="none" w:sz="0" w:space="0" w:color="auto"/>
        <w:right w:val="none" w:sz="0" w:space="0" w:color="auto"/>
      </w:divBdr>
      <w:divsChild>
        <w:div w:id="1296644993">
          <w:marLeft w:val="0"/>
          <w:marRight w:val="0"/>
          <w:marTop w:val="0"/>
          <w:marBottom w:val="0"/>
          <w:divBdr>
            <w:top w:val="none" w:sz="0" w:space="6" w:color="auto"/>
            <w:left w:val="none" w:sz="0" w:space="8" w:color="auto"/>
            <w:bottom w:val="single" w:sz="6" w:space="6" w:color="FFFFFF"/>
            <w:right w:val="none" w:sz="0" w:space="0" w:color="auto"/>
          </w:divBdr>
        </w:div>
      </w:divsChild>
    </w:div>
    <w:div w:id="845901096">
      <w:bodyDiv w:val="1"/>
      <w:marLeft w:val="0"/>
      <w:marRight w:val="0"/>
      <w:marTop w:val="0"/>
      <w:marBottom w:val="0"/>
      <w:divBdr>
        <w:top w:val="none" w:sz="0" w:space="0" w:color="auto"/>
        <w:left w:val="none" w:sz="0" w:space="0" w:color="auto"/>
        <w:bottom w:val="none" w:sz="0" w:space="0" w:color="auto"/>
        <w:right w:val="none" w:sz="0" w:space="0" w:color="auto"/>
      </w:divBdr>
    </w:div>
    <w:div w:id="848102907">
      <w:bodyDiv w:val="1"/>
      <w:marLeft w:val="0"/>
      <w:marRight w:val="0"/>
      <w:marTop w:val="0"/>
      <w:marBottom w:val="0"/>
      <w:divBdr>
        <w:top w:val="none" w:sz="0" w:space="0" w:color="auto"/>
        <w:left w:val="none" w:sz="0" w:space="0" w:color="auto"/>
        <w:bottom w:val="none" w:sz="0" w:space="0" w:color="auto"/>
        <w:right w:val="none" w:sz="0" w:space="0" w:color="auto"/>
      </w:divBdr>
    </w:div>
    <w:div w:id="849954188">
      <w:bodyDiv w:val="1"/>
      <w:marLeft w:val="0"/>
      <w:marRight w:val="0"/>
      <w:marTop w:val="0"/>
      <w:marBottom w:val="0"/>
      <w:divBdr>
        <w:top w:val="none" w:sz="0" w:space="0" w:color="auto"/>
        <w:left w:val="none" w:sz="0" w:space="0" w:color="auto"/>
        <w:bottom w:val="none" w:sz="0" w:space="0" w:color="auto"/>
        <w:right w:val="none" w:sz="0" w:space="0" w:color="auto"/>
      </w:divBdr>
      <w:divsChild>
        <w:div w:id="1715958166">
          <w:marLeft w:val="0"/>
          <w:marRight w:val="0"/>
          <w:marTop w:val="0"/>
          <w:marBottom w:val="0"/>
          <w:divBdr>
            <w:top w:val="none" w:sz="0" w:space="0" w:color="auto"/>
            <w:left w:val="none" w:sz="0" w:space="0" w:color="auto"/>
            <w:bottom w:val="none" w:sz="0" w:space="0" w:color="auto"/>
            <w:right w:val="none" w:sz="0" w:space="0" w:color="auto"/>
          </w:divBdr>
        </w:div>
      </w:divsChild>
    </w:div>
    <w:div w:id="851647701">
      <w:bodyDiv w:val="1"/>
      <w:marLeft w:val="0"/>
      <w:marRight w:val="0"/>
      <w:marTop w:val="0"/>
      <w:marBottom w:val="0"/>
      <w:divBdr>
        <w:top w:val="none" w:sz="0" w:space="0" w:color="auto"/>
        <w:left w:val="none" w:sz="0" w:space="0" w:color="auto"/>
        <w:bottom w:val="none" w:sz="0" w:space="0" w:color="auto"/>
        <w:right w:val="none" w:sz="0" w:space="0" w:color="auto"/>
      </w:divBdr>
    </w:div>
    <w:div w:id="853691328">
      <w:bodyDiv w:val="1"/>
      <w:marLeft w:val="0"/>
      <w:marRight w:val="0"/>
      <w:marTop w:val="0"/>
      <w:marBottom w:val="0"/>
      <w:divBdr>
        <w:top w:val="none" w:sz="0" w:space="0" w:color="auto"/>
        <w:left w:val="none" w:sz="0" w:space="0" w:color="auto"/>
        <w:bottom w:val="none" w:sz="0" w:space="0" w:color="auto"/>
        <w:right w:val="none" w:sz="0" w:space="0" w:color="auto"/>
      </w:divBdr>
    </w:div>
    <w:div w:id="862522625">
      <w:bodyDiv w:val="1"/>
      <w:marLeft w:val="0"/>
      <w:marRight w:val="0"/>
      <w:marTop w:val="0"/>
      <w:marBottom w:val="0"/>
      <w:divBdr>
        <w:top w:val="none" w:sz="0" w:space="0" w:color="auto"/>
        <w:left w:val="none" w:sz="0" w:space="0" w:color="auto"/>
        <w:bottom w:val="none" w:sz="0" w:space="0" w:color="auto"/>
        <w:right w:val="none" w:sz="0" w:space="0" w:color="auto"/>
      </w:divBdr>
    </w:div>
    <w:div w:id="863009680">
      <w:bodyDiv w:val="1"/>
      <w:marLeft w:val="0"/>
      <w:marRight w:val="0"/>
      <w:marTop w:val="0"/>
      <w:marBottom w:val="0"/>
      <w:divBdr>
        <w:top w:val="none" w:sz="0" w:space="0" w:color="auto"/>
        <w:left w:val="none" w:sz="0" w:space="0" w:color="auto"/>
        <w:bottom w:val="none" w:sz="0" w:space="0" w:color="auto"/>
        <w:right w:val="none" w:sz="0" w:space="0" w:color="auto"/>
      </w:divBdr>
      <w:divsChild>
        <w:div w:id="265694176">
          <w:marLeft w:val="0"/>
          <w:marRight w:val="0"/>
          <w:marTop w:val="0"/>
          <w:marBottom w:val="0"/>
          <w:divBdr>
            <w:top w:val="none" w:sz="0" w:space="0" w:color="auto"/>
            <w:left w:val="none" w:sz="0" w:space="0" w:color="auto"/>
            <w:bottom w:val="none" w:sz="0" w:space="0" w:color="auto"/>
            <w:right w:val="none" w:sz="0" w:space="0" w:color="auto"/>
          </w:divBdr>
          <w:divsChild>
            <w:div w:id="333263923">
              <w:marLeft w:val="0"/>
              <w:marRight w:val="0"/>
              <w:marTop w:val="0"/>
              <w:marBottom w:val="0"/>
              <w:divBdr>
                <w:top w:val="none" w:sz="0" w:space="0" w:color="auto"/>
                <w:left w:val="none" w:sz="0" w:space="0" w:color="auto"/>
                <w:bottom w:val="none" w:sz="0" w:space="0" w:color="auto"/>
                <w:right w:val="none" w:sz="0" w:space="0" w:color="auto"/>
              </w:divBdr>
              <w:divsChild>
                <w:div w:id="161896678">
                  <w:marLeft w:val="0"/>
                  <w:marRight w:val="0"/>
                  <w:marTop w:val="0"/>
                  <w:marBottom w:val="0"/>
                  <w:divBdr>
                    <w:top w:val="none" w:sz="0" w:space="0" w:color="auto"/>
                    <w:left w:val="none" w:sz="0" w:space="0" w:color="auto"/>
                    <w:bottom w:val="none" w:sz="0" w:space="0" w:color="auto"/>
                    <w:right w:val="none" w:sz="0" w:space="0" w:color="auto"/>
                  </w:divBdr>
                  <w:divsChild>
                    <w:div w:id="447747467">
                      <w:marLeft w:val="0"/>
                      <w:marRight w:val="0"/>
                      <w:marTop w:val="0"/>
                      <w:marBottom w:val="0"/>
                      <w:divBdr>
                        <w:top w:val="none" w:sz="0" w:space="0" w:color="auto"/>
                        <w:left w:val="none" w:sz="0" w:space="0" w:color="auto"/>
                        <w:bottom w:val="none" w:sz="0" w:space="0" w:color="auto"/>
                        <w:right w:val="none" w:sz="0" w:space="0" w:color="auto"/>
                      </w:divBdr>
                      <w:divsChild>
                        <w:div w:id="153910735">
                          <w:marLeft w:val="0"/>
                          <w:marRight w:val="0"/>
                          <w:marTop w:val="0"/>
                          <w:marBottom w:val="0"/>
                          <w:divBdr>
                            <w:top w:val="none" w:sz="0" w:space="0" w:color="auto"/>
                            <w:left w:val="none" w:sz="0" w:space="0" w:color="auto"/>
                            <w:bottom w:val="none" w:sz="0" w:space="0" w:color="auto"/>
                            <w:right w:val="none" w:sz="0" w:space="0" w:color="auto"/>
                          </w:divBdr>
                          <w:divsChild>
                            <w:div w:id="96443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597844">
      <w:bodyDiv w:val="1"/>
      <w:marLeft w:val="0"/>
      <w:marRight w:val="0"/>
      <w:marTop w:val="0"/>
      <w:marBottom w:val="0"/>
      <w:divBdr>
        <w:top w:val="none" w:sz="0" w:space="0" w:color="auto"/>
        <w:left w:val="none" w:sz="0" w:space="0" w:color="auto"/>
        <w:bottom w:val="none" w:sz="0" w:space="0" w:color="auto"/>
        <w:right w:val="none" w:sz="0" w:space="0" w:color="auto"/>
      </w:divBdr>
      <w:divsChild>
        <w:div w:id="907113032">
          <w:marLeft w:val="0"/>
          <w:marRight w:val="0"/>
          <w:marTop w:val="0"/>
          <w:marBottom w:val="0"/>
          <w:divBdr>
            <w:top w:val="none" w:sz="0" w:space="0" w:color="auto"/>
            <w:left w:val="none" w:sz="0" w:space="0" w:color="auto"/>
            <w:bottom w:val="none" w:sz="0" w:space="0" w:color="auto"/>
            <w:right w:val="none" w:sz="0" w:space="0" w:color="auto"/>
          </w:divBdr>
          <w:divsChild>
            <w:div w:id="18545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6658">
      <w:bodyDiv w:val="1"/>
      <w:marLeft w:val="0"/>
      <w:marRight w:val="0"/>
      <w:marTop w:val="0"/>
      <w:marBottom w:val="0"/>
      <w:divBdr>
        <w:top w:val="none" w:sz="0" w:space="0" w:color="auto"/>
        <w:left w:val="none" w:sz="0" w:space="0" w:color="auto"/>
        <w:bottom w:val="none" w:sz="0" w:space="0" w:color="auto"/>
        <w:right w:val="none" w:sz="0" w:space="0" w:color="auto"/>
      </w:divBdr>
    </w:div>
    <w:div w:id="873881390">
      <w:bodyDiv w:val="1"/>
      <w:marLeft w:val="0"/>
      <w:marRight w:val="0"/>
      <w:marTop w:val="0"/>
      <w:marBottom w:val="0"/>
      <w:divBdr>
        <w:top w:val="none" w:sz="0" w:space="0" w:color="auto"/>
        <w:left w:val="none" w:sz="0" w:space="0" w:color="auto"/>
        <w:bottom w:val="none" w:sz="0" w:space="0" w:color="auto"/>
        <w:right w:val="none" w:sz="0" w:space="0" w:color="auto"/>
      </w:divBdr>
    </w:div>
    <w:div w:id="876352082">
      <w:bodyDiv w:val="1"/>
      <w:marLeft w:val="0"/>
      <w:marRight w:val="0"/>
      <w:marTop w:val="0"/>
      <w:marBottom w:val="0"/>
      <w:divBdr>
        <w:top w:val="none" w:sz="0" w:space="0" w:color="auto"/>
        <w:left w:val="none" w:sz="0" w:space="0" w:color="auto"/>
        <w:bottom w:val="none" w:sz="0" w:space="0" w:color="auto"/>
        <w:right w:val="none" w:sz="0" w:space="0" w:color="auto"/>
      </w:divBdr>
    </w:div>
    <w:div w:id="889614457">
      <w:bodyDiv w:val="1"/>
      <w:marLeft w:val="0"/>
      <w:marRight w:val="0"/>
      <w:marTop w:val="0"/>
      <w:marBottom w:val="0"/>
      <w:divBdr>
        <w:top w:val="none" w:sz="0" w:space="0" w:color="auto"/>
        <w:left w:val="none" w:sz="0" w:space="0" w:color="auto"/>
        <w:bottom w:val="none" w:sz="0" w:space="0" w:color="auto"/>
        <w:right w:val="none" w:sz="0" w:space="0" w:color="auto"/>
      </w:divBdr>
    </w:div>
    <w:div w:id="908004964">
      <w:bodyDiv w:val="1"/>
      <w:marLeft w:val="0"/>
      <w:marRight w:val="0"/>
      <w:marTop w:val="0"/>
      <w:marBottom w:val="0"/>
      <w:divBdr>
        <w:top w:val="none" w:sz="0" w:space="0" w:color="auto"/>
        <w:left w:val="none" w:sz="0" w:space="0" w:color="auto"/>
        <w:bottom w:val="none" w:sz="0" w:space="0" w:color="auto"/>
        <w:right w:val="none" w:sz="0" w:space="0" w:color="auto"/>
      </w:divBdr>
    </w:div>
    <w:div w:id="912281120">
      <w:bodyDiv w:val="1"/>
      <w:marLeft w:val="0"/>
      <w:marRight w:val="0"/>
      <w:marTop w:val="150"/>
      <w:marBottom w:val="150"/>
      <w:divBdr>
        <w:top w:val="none" w:sz="0" w:space="0" w:color="auto"/>
        <w:left w:val="none" w:sz="0" w:space="0" w:color="auto"/>
        <w:bottom w:val="none" w:sz="0" w:space="0" w:color="auto"/>
        <w:right w:val="none" w:sz="0" w:space="0" w:color="auto"/>
      </w:divBdr>
      <w:divsChild>
        <w:div w:id="1103451770">
          <w:marLeft w:val="0"/>
          <w:marRight w:val="0"/>
          <w:marTop w:val="100"/>
          <w:marBottom w:val="100"/>
          <w:divBdr>
            <w:top w:val="none" w:sz="0" w:space="0" w:color="auto"/>
            <w:left w:val="none" w:sz="0" w:space="0" w:color="auto"/>
            <w:bottom w:val="none" w:sz="0" w:space="0" w:color="auto"/>
            <w:right w:val="none" w:sz="0" w:space="0" w:color="auto"/>
          </w:divBdr>
          <w:divsChild>
            <w:div w:id="1631785845">
              <w:marLeft w:val="0"/>
              <w:marRight w:val="0"/>
              <w:marTop w:val="0"/>
              <w:marBottom w:val="0"/>
              <w:divBdr>
                <w:top w:val="none" w:sz="0" w:space="0" w:color="auto"/>
                <w:left w:val="none" w:sz="0" w:space="0" w:color="auto"/>
                <w:bottom w:val="none" w:sz="0" w:space="0" w:color="auto"/>
                <w:right w:val="none" w:sz="0" w:space="0" w:color="auto"/>
              </w:divBdr>
              <w:divsChild>
                <w:div w:id="612593397">
                  <w:marLeft w:val="0"/>
                  <w:marRight w:val="0"/>
                  <w:marTop w:val="0"/>
                  <w:marBottom w:val="300"/>
                  <w:divBdr>
                    <w:top w:val="none" w:sz="0" w:space="0" w:color="auto"/>
                    <w:left w:val="none" w:sz="0" w:space="0" w:color="auto"/>
                    <w:bottom w:val="none" w:sz="0" w:space="0" w:color="auto"/>
                    <w:right w:val="none" w:sz="0" w:space="0" w:color="auto"/>
                  </w:divBdr>
                  <w:divsChild>
                    <w:div w:id="16271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34952">
      <w:bodyDiv w:val="1"/>
      <w:marLeft w:val="0"/>
      <w:marRight w:val="0"/>
      <w:marTop w:val="0"/>
      <w:marBottom w:val="0"/>
      <w:divBdr>
        <w:top w:val="none" w:sz="0" w:space="0" w:color="auto"/>
        <w:left w:val="none" w:sz="0" w:space="0" w:color="auto"/>
        <w:bottom w:val="none" w:sz="0" w:space="0" w:color="auto"/>
        <w:right w:val="none" w:sz="0" w:space="0" w:color="auto"/>
      </w:divBdr>
    </w:div>
    <w:div w:id="918292543">
      <w:bodyDiv w:val="1"/>
      <w:marLeft w:val="0"/>
      <w:marRight w:val="0"/>
      <w:marTop w:val="0"/>
      <w:marBottom w:val="0"/>
      <w:divBdr>
        <w:top w:val="none" w:sz="0" w:space="0" w:color="auto"/>
        <w:left w:val="none" w:sz="0" w:space="0" w:color="auto"/>
        <w:bottom w:val="none" w:sz="0" w:space="0" w:color="auto"/>
        <w:right w:val="none" w:sz="0" w:space="0" w:color="auto"/>
      </w:divBdr>
      <w:divsChild>
        <w:div w:id="1951009591">
          <w:marLeft w:val="0"/>
          <w:marRight w:val="0"/>
          <w:marTop w:val="0"/>
          <w:marBottom w:val="0"/>
          <w:divBdr>
            <w:top w:val="none" w:sz="0" w:space="0" w:color="auto"/>
            <w:left w:val="none" w:sz="0" w:space="0" w:color="auto"/>
            <w:bottom w:val="none" w:sz="0" w:space="0" w:color="auto"/>
            <w:right w:val="none" w:sz="0" w:space="0" w:color="auto"/>
          </w:divBdr>
          <w:divsChild>
            <w:div w:id="1077555523">
              <w:marLeft w:val="0"/>
              <w:marRight w:val="0"/>
              <w:marTop w:val="0"/>
              <w:marBottom w:val="0"/>
              <w:divBdr>
                <w:top w:val="none" w:sz="0" w:space="0" w:color="auto"/>
                <w:left w:val="none" w:sz="0" w:space="0" w:color="auto"/>
                <w:bottom w:val="none" w:sz="0" w:space="0" w:color="auto"/>
                <w:right w:val="none" w:sz="0" w:space="0" w:color="auto"/>
              </w:divBdr>
              <w:divsChild>
                <w:div w:id="1057169488">
                  <w:marLeft w:val="0"/>
                  <w:marRight w:val="0"/>
                  <w:marTop w:val="0"/>
                  <w:marBottom w:val="0"/>
                  <w:divBdr>
                    <w:top w:val="none" w:sz="0" w:space="0" w:color="auto"/>
                    <w:left w:val="none" w:sz="0" w:space="0" w:color="auto"/>
                    <w:bottom w:val="none" w:sz="0" w:space="0" w:color="auto"/>
                    <w:right w:val="none" w:sz="0" w:space="0" w:color="auto"/>
                  </w:divBdr>
                  <w:divsChild>
                    <w:div w:id="1234240177">
                      <w:marLeft w:val="-225"/>
                      <w:marRight w:val="-225"/>
                      <w:marTop w:val="0"/>
                      <w:marBottom w:val="0"/>
                      <w:divBdr>
                        <w:top w:val="none" w:sz="0" w:space="0" w:color="auto"/>
                        <w:left w:val="none" w:sz="0" w:space="0" w:color="auto"/>
                        <w:bottom w:val="none" w:sz="0" w:space="0" w:color="auto"/>
                        <w:right w:val="none" w:sz="0" w:space="0" w:color="auto"/>
                      </w:divBdr>
                      <w:divsChild>
                        <w:div w:id="1185090816">
                          <w:marLeft w:val="0"/>
                          <w:marRight w:val="0"/>
                          <w:marTop w:val="0"/>
                          <w:marBottom w:val="0"/>
                          <w:divBdr>
                            <w:top w:val="none" w:sz="0" w:space="0" w:color="auto"/>
                            <w:left w:val="none" w:sz="0" w:space="0" w:color="auto"/>
                            <w:bottom w:val="none" w:sz="0" w:space="0" w:color="auto"/>
                            <w:right w:val="none" w:sz="0" w:space="0" w:color="auto"/>
                          </w:divBdr>
                          <w:divsChild>
                            <w:div w:id="1729498151">
                              <w:marLeft w:val="0"/>
                              <w:marRight w:val="0"/>
                              <w:marTop w:val="0"/>
                              <w:marBottom w:val="0"/>
                              <w:divBdr>
                                <w:top w:val="none" w:sz="0" w:space="0" w:color="auto"/>
                                <w:left w:val="none" w:sz="0" w:space="0" w:color="auto"/>
                                <w:bottom w:val="none" w:sz="0" w:space="0" w:color="auto"/>
                                <w:right w:val="none" w:sz="0" w:space="0" w:color="auto"/>
                              </w:divBdr>
                              <w:divsChild>
                                <w:div w:id="1810397332">
                                  <w:marLeft w:val="0"/>
                                  <w:marRight w:val="0"/>
                                  <w:marTop w:val="0"/>
                                  <w:marBottom w:val="0"/>
                                  <w:divBdr>
                                    <w:top w:val="none" w:sz="0" w:space="0" w:color="auto"/>
                                    <w:left w:val="none" w:sz="0" w:space="0" w:color="auto"/>
                                    <w:bottom w:val="none" w:sz="0" w:space="0" w:color="auto"/>
                                    <w:right w:val="none" w:sz="0" w:space="0" w:color="auto"/>
                                  </w:divBdr>
                                  <w:divsChild>
                                    <w:div w:id="1052996712">
                                      <w:marLeft w:val="0"/>
                                      <w:marRight w:val="0"/>
                                      <w:marTop w:val="0"/>
                                      <w:marBottom w:val="0"/>
                                      <w:divBdr>
                                        <w:top w:val="none" w:sz="0" w:space="0" w:color="auto"/>
                                        <w:left w:val="none" w:sz="0" w:space="0" w:color="auto"/>
                                        <w:bottom w:val="none" w:sz="0" w:space="0" w:color="auto"/>
                                        <w:right w:val="none" w:sz="0" w:space="0" w:color="auto"/>
                                      </w:divBdr>
                                      <w:divsChild>
                                        <w:div w:id="1381855478">
                                          <w:marLeft w:val="0"/>
                                          <w:marRight w:val="0"/>
                                          <w:marTop w:val="0"/>
                                          <w:marBottom w:val="0"/>
                                          <w:divBdr>
                                            <w:top w:val="none" w:sz="0" w:space="0" w:color="auto"/>
                                            <w:left w:val="none" w:sz="0" w:space="0" w:color="auto"/>
                                            <w:bottom w:val="none" w:sz="0" w:space="0" w:color="auto"/>
                                            <w:right w:val="none" w:sz="0" w:space="0" w:color="auto"/>
                                          </w:divBdr>
                                          <w:divsChild>
                                            <w:div w:id="1270167004">
                                              <w:marLeft w:val="0"/>
                                              <w:marRight w:val="0"/>
                                              <w:marTop w:val="0"/>
                                              <w:marBottom w:val="0"/>
                                              <w:divBdr>
                                                <w:top w:val="none" w:sz="0" w:space="0" w:color="auto"/>
                                                <w:left w:val="none" w:sz="0" w:space="0" w:color="auto"/>
                                                <w:bottom w:val="none" w:sz="0" w:space="0" w:color="auto"/>
                                                <w:right w:val="none" w:sz="0" w:space="0" w:color="auto"/>
                                              </w:divBdr>
                                              <w:divsChild>
                                                <w:div w:id="1593658475">
                                                  <w:marLeft w:val="0"/>
                                                  <w:marRight w:val="0"/>
                                                  <w:marTop w:val="0"/>
                                                  <w:marBottom w:val="0"/>
                                                  <w:divBdr>
                                                    <w:top w:val="none" w:sz="0" w:space="0" w:color="auto"/>
                                                    <w:left w:val="none" w:sz="0" w:space="0" w:color="auto"/>
                                                    <w:bottom w:val="none" w:sz="0" w:space="0" w:color="auto"/>
                                                    <w:right w:val="none" w:sz="0" w:space="0" w:color="auto"/>
                                                  </w:divBdr>
                                                  <w:divsChild>
                                                    <w:div w:id="22676816">
                                                      <w:marLeft w:val="0"/>
                                                      <w:marRight w:val="0"/>
                                                      <w:marTop w:val="0"/>
                                                      <w:marBottom w:val="0"/>
                                                      <w:divBdr>
                                                        <w:top w:val="none" w:sz="0" w:space="0" w:color="auto"/>
                                                        <w:left w:val="none" w:sz="0" w:space="0" w:color="auto"/>
                                                        <w:bottom w:val="none" w:sz="0" w:space="0" w:color="auto"/>
                                                        <w:right w:val="none" w:sz="0" w:space="0" w:color="auto"/>
                                                      </w:divBdr>
                                                      <w:divsChild>
                                                        <w:div w:id="1210917744">
                                                          <w:marLeft w:val="0"/>
                                                          <w:marRight w:val="0"/>
                                                          <w:marTop w:val="0"/>
                                                          <w:marBottom w:val="0"/>
                                                          <w:divBdr>
                                                            <w:top w:val="none" w:sz="0" w:space="0" w:color="auto"/>
                                                            <w:left w:val="none" w:sz="0" w:space="0" w:color="auto"/>
                                                            <w:bottom w:val="none" w:sz="0" w:space="0" w:color="auto"/>
                                                            <w:right w:val="none" w:sz="0" w:space="0" w:color="auto"/>
                                                          </w:divBdr>
                                                          <w:divsChild>
                                                            <w:div w:id="65304222">
                                                              <w:marLeft w:val="0"/>
                                                              <w:marRight w:val="0"/>
                                                              <w:marTop w:val="0"/>
                                                              <w:marBottom w:val="0"/>
                                                              <w:divBdr>
                                                                <w:top w:val="none" w:sz="0" w:space="0" w:color="auto"/>
                                                                <w:left w:val="none" w:sz="0" w:space="0" w:color="auto"/>
                                                                <w:bottom w:val="none" w:sz="0" w:space="0" w:color="auto"/>
                                                                <w:right w:val="none" w:sz="0" w:space="0" w:color="auto"/>
                                                              </w:divBdr>
                                                              <w:divsChild>
                                                                <w:div w:id="8029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0623154">
      <w:marLeft w:val="0"/>
      <w:marRight w:val="0"/>
      <w:marTop w:val="0"/>
      <w:marBottom w:val="0"/>
      <w:divBdr>
        <w:top w:val="none" w:sz="0" w:space="0" w:color="auto"/>
        <w:left w:val="none" w:sz="0" w:space="0" w:color="auto"/>
        <w:bottom w:val="none" w:sz="0" w:space="0" w:color="auto"/>
        <w:right w:val="none" w:sz="0" w:space="0" w:color="auto"/>
      </w:divBdr>
    </w:div>
    <w:div w:id="937911832">
      <w:bodyDiv w:val="1"/>
      <w:marLeft w:val="0"/>
      <w:marRight w:val="0"/>
      <w:marTop w:val="0"/>
      <w:marBottom w:val="0"/>
      <w:divBdr>
        <w:top w:val="none" w:sz="0" w:space="0" w:color="auto"/>
        <w:left w:val="none" w:sz="0" w:space="0" w:color="auto"/>
        <w:bottom w:val="none" w:sz="0" w:space="0" w:color="auto"/>
        <w:right w:val="none" w:sz="0" w:space="0" w:color="auto"/>
      </w:divBdr>
      <w:divsChild>
        <w:div w:id="63263569">
          <w:marLeft w:val="0"/>
          <w:marRight w:val="0"/>
          <w:marTop w:val="0"/>
          <w:marBottom w:val="0"/>
          <w:divBdr>
            <w:top w:val="none" w:sz="0" w:space="0" w:color="auto"/>
            <w:left w:val="none" w:sz="0" w:space="0" w:color="auto"/>
            <w:bottom w:val="none" w:sz="0" w:space="0" w:color="auto"/>
            <w:right w:val="none" w:sz="0" w:space="0" w:color="auto"/>
          </w:divBdr>
          <w:divsChild>
            <w:div w:id="2458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646">
      <w:bodyDiv w:val="1"/>
      <w:marLeft w:val="0"/>
      <w:marRight w:val="0"/>
      <w:marTop w:val="0"/>
      <w:marBottom w:val="0"/>
      <w:divBdr>
        <w:top w:val="none" w:sz="0" w:space="0" w:color="auto"/>
        <w:left w:val="none" w:sz="0" w:space="0" w:color="auto"/>
        <w:bottom w:val="none" w:sz="0" w:space="0" w:color="auto"/>
        <w:right w:val="none" w:sz="0" w:space="0" w:color="auto"/>
      </w:divBdr>
      <w:divsChild>
        <w:div w:id="2044674734">
          <w:marLeft w:val="0"/>
          <w:marRight w:val="0"/>
          <w:marTop w:val="0"/>
          <w:marBottom w:val="0"/>
          <w:divBdr>
            <w:top w:val="none" w:sz="0" w:space="0" w:color="auto"/>
            <w:left w:val="none" w:sz="0" w:space="0" w:color="auto"/>
            <w:bottom w:val="none" w:sz="0" w:space="0" w:color="auto"/>
            <w:right w:val="none" w:sz="0" w:space="0" w:color="auto"/>
          </w:divBdr>
          <w:divsChild>
            <w:div w:id="1820875542">
              <w:marLeft w:val="-225"/>
              <w:marRight w:val="-225"/>
              <w:marTop w:val="0"/>
              <w:marBottom w:val="0"/>
              <w:divBdr>
                <w:top w:val="none" w:sz="0" w:space="0" w:color="auto"/>
                <w:left w:val="none" w:sz="0" w:space="0" w:color="auto"/>
                <w:bottom w:val="none" w:sz="0" w:space="0" w:color="auto"/>
                <w:right w:val="none" w:sz="0" w:space="0" w:color="auto"/>
              </w:divBdr>
              <w:divsChild>
                <w:div w:id="1957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23563">
      <w:bodyDiv w:val="1"/>
      <w:marLeft w:val="0"/>
      <w:marRight w:val="0"/>
      <w:marTop w:val="0"/>
      <w:marBottom w:val="0"/>
      <w:divBdr>
        <w:top w:val="none" w:sz="0" w:space="0" w:color="auto"/>
        <w:left w:val="none" w:sz="0" w:space="0" w:color="auto"/>
        <w:bottom w:val="none" w:sz="0" w:space="0" w:color="auto"/>
        <w:right w:val="none" w:sz="0" w:space="0" w:color="auto"/>
      </w:divBdr>
    </w:div>
    <w:div w:id="958487270">
      <w:bodyDiv w:val="1"/>
      <w:marLeft w:val="0"/>
      <w:marRight w:val="0"/>
      <w:marTop w:val="0"/>
      <w:marBottom w:val="0"/>
      <w:divBdr>
        <w:top w:val="none" w:sz="0" w:space="0" w:color="auto"/>
        <w:left w:val="none" w:sz="0" w:space="0" w:color="auto"/>
        <w:bottom w:val="none" w:sz="0" w:space="0" w:color="auto"/>
        <w:right w:val="none" w:sz="0" w:space="0" w:color="auto"/>
      </w:divBdr>
    </w:div>
    <w:div w:id="964459690">
      <w:bodyDiv w:val="1"/>
      <w:marLeft w:val="0"/>
      <w:marRight w:val="0"/>
      <w:marTop w:val="0"/>
      <w:marBottom w:val="0"/>
      <w:divBdr>
        <w:top w:val="none" w:sz="0" w:space="0" w:color="auto"/>
        <w:left w:val="none" w:sz="0" w:space="0" w:color="auto"/>
        <w:bottom w:val="none" w:sz="0" w:space="0" w:color="auto"/>
        <w:right w:val="none" w:sz="0" w:space="0" w:color="auto"/>
      </w:divBdr>
    </w:div>
    <w:div w:id="976187246">
      <w:bodyDiv w:val="1"/>
      <w:marLeft w:val="0"/>
      <w:marRight w:val="0"/>
      <w:marTop w:val="0"/>
      <w:marBottom w:val="0"/>
      <w:divBdr>
        <w:top w:val="none" w:sz="0" w:space="0" w:color="auto"/>
        <w:left w:val="none" w:sz="0" w:space="0" w:color="auto"/>
        <w:bottom w:val="none" w:sz="0" w:space="0" w:color="auto"/>
        <w:right w:val="none" w:sz="0" w:space="0" w:color="auto"/>
      </w:divBdr>
    </w:div>
    <w:div w:id="997686003">
      <w:bodyDiv w:val="1"/>
      <w:marLeft w:val="0"/>
      <w:marRight w:val="0"/>
      <w:marTop w:val="0"/>
      <w:marBottom w:val="0"/>
      <w:divBdr>
        <w:top w:val="none" w:sz="0" w:space="0" w:color="auto"/>
        <w:left w:val="none" w:sz="0" w:space="0" w:color="auto"/>
        <w:bottom w:val="none" w:sz="0" w:space="0" w:color="auto"/>
        <w:right w:val="none" w:sz="0" w:space="0" w:color="auto"/>
      </w:divBdr>
      <w:divsChild>
        <w:div w:id="1307972988">
          <w:marLeft w:val="0"/>
          <w:marRight w:val="0"/>
          <w:marTop w:val="0"/>
          <w:marBottom w:val="0"/>
          <w:divBdr>
            <w:top w:val="none" w:sz="0" w:space="0" w:color="auto"/>
            <w:left w:val="none" w:sz="0" w:space="0" w:color="auto"/>
            <w:bottom w:val="none" w:sz="0" w:space="0" w:color="auto"/>
            <w:right w:val="none" w:sz="0" w:space="0" w:color="auto"/>
          </w:divBdr>
        </w:div>
      </w:divsChild>
    </w:div>
    <w:div w:id="999622495">
      <w:bodyDiv w:val="1"/>
      <w:marLeft w:val="0"/>
      <w:marRight w:val="0"/>
      <w:marTop w:val="0"/>
      <w:marBottom w:val="0"/>
      <w:divBdr>
        <w:top w:val="none" w:sz="0" w:space="0" w:color="auto"/>
        <w:left w:val="none" w:sz="0" w:space="0" w:color="auto"/>
        <w:bottom w:val="none" w:sz="0" w:space="0" w:color="auto"/>
        <w:right w:val="none" w:sz="0" w:space="0" w:color="auto"/>
      </w:divBdr>
    </w:div>
    <w:div w:id="1000281303">
      <w:bodyDiv w:val="1"/>
      <w:marLeft w:val="0"/>
      <w:marRight w:val="0"/>
      <w:marTop w:val="0"/>
      <w:marBottom w:val="0"/>
      <w:divBdr>
        <w:top w:val="none" w:sz="0" w:space="0" w:color="auto"/>
        <w:left w:val="none" w:sz="0" w:space="0" w:color="auto"/>
        <w:bottom w:val="none" w:sz="0" w:space="0" w:color="auto"/>
        <w:right w:val="none" w:sz="0" w:space="0" w:color="auto"/>
      </w:divBdr>
    </w:div>
    <w:div w:id="1012759372">
      <w:bodyDiv w:val="1"/>
      <w:marLeft w:val="0"/>
      <w:marRight w:val="0"/>
      <w:marTop w:val="0"/>
      <w:marBottom w:val="0"/>
      <w:divBdr>
        <w:top w:val="none" w:sz="0" w:space="0" w:color="auto"/>
        <w:left w:val="none" w:sz="0" w:space="0" w:color="auto"/>
        <w:bottom w:val="none" w:sz="0" w:space="0" w:color="auto"/>
        <w:right w:val="none" w:sz="0" w:space="0" w:color="auto"/>
      </w:divBdr>
    </w:div>
    <w:div w:id="1018508602">
      <w:marLeft w:val="0"/>
      <w:marRight w:val="0"/>
      <w:marTop w:val="0"/>
      <w:marBottom w:val="0"/>
      <w:divBdr>
        <w:top w:val="none" w:sz="0" w:space="0" w:color="auto"/>
        <w:left w:val="none" w:sz="0" w:space="0" w:color="auto"/>
        <w:bottom w:val="none" w:sz="0" w:space="0" w:color="auto"/>
        <w:right w:val="none" w:sz="0" w:space="0" w:color="auto"/>
      </w:divBdr>
      <w:divsChild>
        <w:div w:id="1291742951">
          <w:marLeft w:val="45"/>
          <w:marRight w:val="0"/>
          <w:marTop w:val="0"/>
          <w:marBottom w:val="0"/>
          <w:divBdr>
            <w:top w:val="none" w:sz="0" w:space="0" w:color="auto"/>
            <w:left w:val="none" w:sz="0" w:space="0" w:color="auto"/>
            <w:bottom w:val="none" w:sz="0" w:space="0" w:color="auto"/>
            <w:right w:val="none" w:sz="0" w:space="0" w:color="auto"/>
          </w:divBdr>
          <w:divsChild>
            <w:div w:id="112843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7849">
      <w:bodyDiv w:val="1"/>
      <w:marLeft w:val="0"/>
      <w:marRight w:val="0"/>
      <w:marTop w:val="0"/>
      <w:marBottom w:val="0"/>
      <w:divBdr>
        <w:top w:val="none" w:sz="0" w:space="0" w:color="auto"/>
        <w:left w:val="none" w:sz="0" w:space="0" w:color="auto"/>
        <w:bottom w:val="none" w:sz="0" w:space="0" w:color="auto"/>
        <w:right w:val="none" w:sz="0" w:space="0" w:color="auto"/>
      </w:divBdr>
      <w:divsChild>
        <w:div w:id="1619723271">
          <w:marLeft w:val="0"/>
          <w:marRight w:val="0"/>
          <w:marTop w:val="0"/>
          <w:marBottom w:val="0"/>
          <w:divBdr>
            <w:top w:val="none" w:sz="0" w:space="0" w:color="auto"/>
            <w:left w:val="none" w:sz="0" w:space="0" w:color="auto"/>
            <w:bottom w:val="none" w:sz="0" w:space="0" w:color="auto"/>
            <w:right w:val="none" w:sz="0" w:space="0" w:color="auto"/>
          </w:divBdr>
          <w:divsChild>
            <w:div w:id="29307436">
              <w:marLeft w:val="0"/>
              <w:marRight w:val="0"/>
              <w:marTop w:val="0"/>
              <w:marBottom w:val="0"/>
              <w:divBdr>
                <w:top w:val="none" w:sz="0" w:space="0" w:color="auto"/>
                <w:left w:val="none" w:sz="0" w:space="0" w:color="auto"/>
                <w:bottom w:val="none" w:sz="0" w:space="0" w:color="auto"/>
                <w:right w:val="none" w:sz="0" w:space="0" w:color="auto"/>
              </w:divBdr>
              <w:divsChild>
                <w:div w:id="1851917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862934">
      <w:bodyDiv w:val="1"/>
      <w:marLeft w:val="0"/>
      <w:marRight w:val="0"/>
      <w:marTop w:val="0"/>
      <w:marBottom w:val="0"/>
      <w:divBdr>
        <w:top w:val="none" w:sz="0" w:space="0" w:color="auto"/>
        <w:left w:val="none" w:sz="0" w:space="0" w:color="auto"/>
        <w:bottom w:val="none" w:sz="0" w:space="0" w:color="auto"/>
        <w:right w:val="none" w:sz="0" w:space="0" w:color="auto"/>
      </w:divBdr>
    </w:div>
    <w:div w:id="1049259332">
      <w:bodyDiv w:val="1"/>
      <w:marLeft w:val="0"/>
      <w:marRight w:val="0"/>
      <w:marTop w:val="0"/>
      <w:marBottom w:val="0"/>
      <w:divBdr>
        <w:top w:val="none" w:sz="0" w:space="0" w:color="auto"/>
        <w:left w:val="none" w:sz="0" w:space="0" w:color="auto"/>
        <w:bottom w:val="none" w:sz="0" w:space="0" w:color="auto"/>
        <w:right w:val="none" w:sz="0" w:space="0" w:color="auto"/>
      </w:divBdr>
    </w:div>
    <w:div w:id="1053042242">
      <w:bodyDiv w:val="1"/>
      <w:marLeft w:val="0"/>
      <w:marRight w:val="0"/>
      <w:marTop w:val="0"/>
      <w:marBottom w:val="0"/>
      <w:divBdr>
        <w:top w:val="none" w:sz="0" w:space="0" w:color="auto"/>
        <w:left w:val="none" w:sz="0" w:space="0" w:color="auto"/>
        <w:bottom w:val="none" w:sz="0" w:space="0" w:color="auto"/>
        <w:right w:val="none" w:sz="0" w:space="0" w:color="auto"/>
      </w:divBdr>
    </w:div>
    <w:div w:id="1064259082">
      <w:bodyDiv w:val="1"/>
      <w:marLeft w:val="0"/>
      <w:marRight w:val="0"/>
      <w:marTop w:val="0"/>
      <w:marBottom w:val="0"/>
      <w:divBdr>
        <w:top w:val="none" w:sz="0" w:space="0" w:color="auto"/>
        <w:left w:val="none" w:sz="0" w:space="0" w:color="auto"/>
        <w:bottom w:val="none" w:sz="0" w:space="0" w:color="auto"/>
        <w:right w:val="none" w:sz="0" w:space="0" w:color="auto"/>
      </w:divBdr>
    </w:div>
    <w:div w:id="1072461378">
      <w:bodyDiv w:val="1"/>
      <w:marLeft w:val="0"/>
      <w:marRight w:val="0"/>
      <w:marTop w:val="0"/>
      <w:marBottom w:val="0"/>
      <w:divBdr>
        <w:top w:val="none" w:sz="0" w:space="0" w:color="auto"/>
        <w:left w:val="none" w:sz="0" w:space="0" w:color="auto"/>
        <w:bottom w:val="none" w:sz="0" w:space="0" w:color="auto"/>
        <w:right w:val="none" w:sz="0" w:space="0" w:color="auto"/>
      </w:divBdr>
    </w:div>
    <w:div w:id="1078484620">
      <w:bodyDiv w:val="1"/>
      <w:marLeft w:val="0"/>
      <w:marRight w:val="0"/>
      <w:marTop w:val="0"/>
      <w:marBottom w:val="0"/>
      <w:divBdr>
        <w:top w:val="none" w:sz="0" w:space="0" w:color="auto"/>
        <w:left w:val="none" w:sz="0" w:space="0" w:color="auto"/>
        <w:bottom w:val="none" w:sz="0" w:space="0" w:color="auto"/>
        <w:right w:val="none" w:sz="0" w:space="0" w:color="auto"/>
      </w:divBdr>
    </w:div>
    <w:div w:id="1089159944">
      <w:bodyDiv w:val="1"/>
      <w:marLeft w:val="0"/>
      <w:marRight w:val="0"/>
      <w:marTop w:val="0"/>
      <w:marBottom w:val="0"/>
      <w:divBdr>
        <w:top w:val="none" w:sz="0" w:space="0" w:color="auto"/>
        <w:left w:val="none" w:sz="0" w:space="0" w:color="auto"/>
        <w:bottom w:val="none" w:sz="0" w:space="0" w:color="auto"/>
        <w:right w:val="none" w:sz="0" w:space="0" w:color="auto"/>
      </w:divBdr>
      <w:divsChild>
        <w:div w:id="1554073003">
          <w:marLeft w:val="150"/>
          <w:marRight w:val="150"/>
          <w:marTop w:val="300"/>
          <w:marBottom w:val="150"/>
          <w:divBdr>
            <w:top w:val="none" w:sz="0" w:space="0" w:color="auto"/>
            <w:left w:val="none" w:sz="0" w:space="0" w:color="auto"/>
            <w:bottom w:val="none" w:sz="0" w:space="0" w:color="auto"/>
            <w:right w:val="none" w:sz="0" w:space="0" w:color="auto"/>
          </w:divBdr>
        </w:div>
      </w:divsChild>
    </w:div>
    <w:div w:id="1113675385">
      <w:bodyDiv w:val="1"/>
      <w:marLeft w:val="0"/>
      <w:marRight w:val="0"/>
      <w:marTop w:val="0"/>
      <w:marBottom w:val="0"/>
      <w:divBdr>
        <w:top w:val="none" w:sz="0" w:space="0" w:color="auto"/>
        <w:left w:val="none" w:sz="0" w:space="0" w:color="auto"/>
        <w:bottom w:val="none" w:sz="0" w:space="0" w:color="auto"/>
        <w:right w:val="none" w:sz="0" w:space="0" w:color="auto"/>
      </w:divBdr>
    </w:div>
    <w:div w:id="1115834637">
      <w:bodyDiv w:val="1"/>
      <w:marLeft w:val="0"/>
      <w:marRight w:val="0"/>
      <w:marTop w:val="0"/>
      <w:marBottom w:val="0"/>
      <w:divBdr>
        <w:top w:val="none" w:sz="0" w:space="0" w:color="auto"/>
        <w:left w:val="none" w:sz="0" w:space="0" w:color="auto"/>
        <w:bottom w:val="none" w:sz="0" w:space="0" w:color="auto"/>
        <w:right w:val="none" w:sz="0" w:space="0" w:color="auto"/>
      </w:divBdr>
    </w:div>
    <w:div w:id="1120802018">
      <w:bodyDiv w:val="1"/>
      <w:marLeft w:val="0"/>
      <w:marRight w:val="0"/>
      <w:marTop w:val="0"/>
      <w:marBottom w:val="0"/>
      <w:divBdr>
        <w:top w:val="none" w:sz="0" w:space="0" w:color="auto"/>
        <w:left w:val="none" w:sz="0" w:space="0" w:color="auto"/>
        <w:bottom w:val="none" w:sz="0" w:space="0" w:color="auto"/>
        <w:right w:val="none" w:sz="0" w:space="0" w:color="auto"/>
      </w:divBdr>
    </w:div>
    <w:div w:id="1129667405">
      <w:bodyDiv w:val="1"/>
      <w:marLeft w:val="0"/>
      <w:marRight w:val="0"/>
      <w:marTop w:val="0"/>
      <w:marBottom w:val="0"/>
      <w:divBdr>
        <w:top w:val="none" w:sz="0" w:space="0" w:color="auto"/>
        <w:left w:val="none" w:sz="0" w:space="0" w:color="auto"/>
        <w:bottom w:val="none" w:sz="0" w:space="0" w:color="auto"/>
        <w:right w:val="none" w:sz="0" w:space="0" w:color="auto"/>
      </w:divBdr>
      <w:divsChild>
        <w:div w:id="2135638759">
          <w:marLeft w:val="0"/>
          <w:marRight w:val="0"/>
          <w:marTop w:val="0"/>
          <w:marBottom w:val="0"/>
          <w:divBdr>
            <w:top w:val="none" w:sz="0" w:space="0" w:color="auto"/>
            <w:left w:val="none" w:sz="0" w:space="0" w:color="auto"/>
            <w:bottom w:val="none" w:sz="0" w:space="0" w:color="auto"/>
            <w:right w:val="none" w:sz="0" w:space="0" w:color="auto"/>
          </w:divBdr>
          <w:divsChild>
            <w:div w:id="284847929">
              <w:marLeft w:val="0"/>
              <w:marRight w:val="0"/>
              <w:marTop w:val="0"/>
              <w:marBottom w:val="0"/>
              <w:divBdr>
                <w:top w:val="none" w:sz="0" w:space="0" w:color="auto"/>
                <w:left w:val="none" w:sz="0" w:space="0" w:color="auto"/>
                <w:bottom w:val="none" w:sz="0" w:space="0" w:color="auto"/>
                <w:right w:val="none" w:sz="0" w:space="0" w:color="auto"/>
              </w:divBdr>
              <w:divsChild>
                <w:div w:id="513886724">
                  <w:marLeft w:val="0"/>
                  <w:marRight w:val="0"/>
                  <w:marTop w:val="0"/>
                  <w:marBottom w:val="0"/>
                  <w:divBdr>
                    <w:top w:val="none" w:sz="0" w:space="0" w:color="auto"/>
                    <w:left w:val="none" w:sz="0" w:space="0" w:color="auto"/>
                    <w:bottom w:val="none" w:sz="0" w:space="0" w:color="auto"/>
                    <w:right w:val="none" w:sz="0" w:space="0" w:color="auto"/>
                  </w:divBdr>
                  <w:divsChild>
                    <w:div w:id="744452165">
                      <w:marLeft w:val="0"/>
                      <w:marRight w:val="0"/>
                      <w:marTop w:val="0"/>
                      <w:marBottom w:val="0"/>
                      <w:divBdr>
                        <w:top w:val="none" w:sz="0" w:space="0" w:color="auto"/>
                        <w:left w:val="none" w:sz="0" w:space="0" w:color="auto"/>
                        <w:bottom w:val="none" w:sz="0" w:space="0" w:color="auto"/>
                        <w:right w:val="none" w:sz="0" w:space="0" w:color="auto"/>
                      </w:divBdr>
                      <w:divsChild>
                        <w:div w:id="19991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93826">
      <w:bodyDiv w:val="1"/>
      <w:marLeft w:val="0"/>
      <w:marRight w:val="0"/>
      <w:marTop w:val="0"/>
      <w:marBottom w:val="0"/>
      <w:divBdr>
        <w:top w:val="none" w:sz="0" w:space="0" w:color="auto"/>
        <w:left w:val="none" w:sz="0" w:space="0" w:color="auto"/>
        <w:bottom w:val="none" w:sz="0" w:space="0" w:color="auto"/>
        <w:right w:val="none" w:sz="0" w:space="0" w:color="auto"/>
      </w:divBdr>
    </w:div>
    <w:div w:id="1164080550">
      <w:bodyDiv w:val="1"/>
      <w:marLeft w:val="0"/>
      <w:marRight w:val="0"/>
      <w:marTop w:val="0"/>
      <w:marBottom w:val="0"/>
      <w:divBdr>
        <w:top w:val="none" w:sz="0" w:space="0" w:color="auto"/>
        <w:left w:val="none" w:sz="0" w:space="0" w:color="auto"/>
        <w:bottom w:val="none" w:sz="0" w:space="0" w:color="auto"/>
        <w:right w:val="none" w:sz="0" w:space="0" w:color="auto"/>
      </w:divBdr>
      <w:divsChild>
        <w:div w:id="66465570">
          <w:marLeft w:val="0"/>
          <w:marRight w:val="0"/>
          <w:marTop w:val="0"/>
          <w:marBottom w:val="0"/>
          <w:divBdr>
            <w:top w:val="none" w:sz="0" w:space="0" w:color="auto"/>
            <w:left w:val="none" w:sz="0" w:space="0" w:color="auto"/>
            <w:bottom w:val="none" w:sz="0" w:space="0" w:color="auto"/>
            <w:right w:val="none" w:sz="0" w:space="0" w:color="auto"/>
          </w:divBdr>
          <w:divsChild>
            <w:div w:id="578028834">
              <w:marLeft w:val="-225"/>
              <w:marRight w:val="-225"/>
              <w:marTop w:val="0"/>
              <w:marBottom w:val="0"/>
              <w:divBdr>
                <w:top w:val="none" w:sz="0" w:space="0" w:color="auto"/>
                <w:left w:val="none" w:sz="0" w:space="0" w:color="auto"/>
                <w:bottom w:val="none" w:sz="0" w:space="0" w:color="auto"/>
                <w:right w:val="none" w:sz="0" w:space="0" w:color="auto"/>
              </w:divBdr>
              <w:divsChild>
                <w:div w:id="212082584">
                  <w:marLeft w:val="0"/>
                  <w:marRight w:val="0"/>
                  <w:marTop w:val="0"/>
                  <w:marBottom w:val="0"/>
                  <w:divBdr>
                    <w:top w:val="none" w:sz="0" w:space="0" w:color="auto"/>
                    <w:left w:val="none" w:sz="0" w:space="0" w:color="auto"/>
                    <w:bottom w:val="none" w:sz="0" w:space="0" w:color="auto"/>
                    <w:right w:val="none" w:sz="0" w:space="0" w:color="auto"/>
                  </w:divBdr>
                  <w:divsChild>
                    <w:div w:id="704864770">
                      <w:marLeft w:val="0"/>
                      <w:marRight w:val="0"/>
                      <w:marTop w:val="0"/>
                      <w:marBottom w:val="0"/>
                      <w:divBdr>
                        <w:top w:val="none" w:sz="0" w:space="0" w:color="auto"/>
                        <w:left w:val="none" w:sz="0" w:space="0" w:color="auto"/>
                        <w:bottom w:val="none" w:sz="0" w:space="0" w:color="auto"/>
                        <w:right w:val="none" w:sz="0" w:space="0" w:color="auto"/>
                      </w:divBdr>
                      <w:divsChild>
                        <w:div w:id="2085029970">
                          <w:marLeft w:val="0"/>
                          <w:marRight w:val="0"/>
                          <w:marTop w:val="0"/>
                          <w:marBottom w:val="0"/>
                          <w:divBdr>
                            <w:top w:val="none" w:sz="0" w:space="0" w:color="auto"/>
                            <w:left w:val="none" w:sz="0" w:space="0" w:color="auto"/>
                            <w:bottom w:val="none" w:sz="0" w:space="0" w:color="auto"/>
                            <w:right w:val="none" w:sz="0" w:space="0" w:color="auto"/>
                          </w:divBdr>
                          <w:divsChild>
                            <w:div w:id="14835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115355">
      <w:bodyDiv w:val="1"/>
      <w:marLeft w:val="0"/>
      <w:marRight w:val="0"/>
      <w:marTop w:val="0"/>
      <w:marBottom w:val="0"/>
      <w:divBdr>
        <w:top w:val="none" w:sz="0" w:space="0" w:color="auto"/>
        <w:left w:val="none" w:sz="0" w:space="0" w:color="auto"/>
        <w:bottom w:val="none" w:sz="0" w:space="0" w:color="auto"/>
        <w:right w:val="none" w:sz="0" w:space="0" w:color="auto"/>
      </w:divBdr>
      <w:divsChild>
        <w:div w:id="51971114">
          <w:marLeft w:val="0"/>
          <w:marRight w:val="0"/>
          <w:marTop w:val="0"/>
          <w:marBottom w:val="0"/>
          <w:divBdr>
            <w:top w:val="none" w:sz="0" w:space="0" w:color="auto"/>
            <w:left w:val="none" w:sz="0" w:space="0" w:color="auto"/>
            <w:bottom w:val="none" w:sz="0" w:space="0" w:color="auto"/>
            <w:right w:val="none" w:sz="0" w:space="0" w:color="auto"/>
          </w:divBdr>
          <w:divsChild>
            <w:div w:id="1292899513">
              <w:marLeft w:val="-225"/>
              <w:marRight w:val="-225"/>
              <w:marTop w:val="0"/>
              <w:marBottom w:val="0"/>
              <w:divBdr>
                <w:top w:val="none" w:sz="0" w:space="0" w:color="auto"/>
                <w:left w:val="none" w:sz="0" w:space="0" w:color="auto"/>
                <w:bottom w:val="none" w:sz="0" w:space="0" w:color="auto"/>
                <w:right w:val="none" w:sz="0" w:space="0" w:color="auto"/>
              </w:divBdr>
              <w:divsChild>
                <w:div w:id="16913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73438">
      <w:bodyDiv w:val="1"/>
      <w:marLeft w:val="0"/>
      <w:marRight w:val="0"/>
      <w:marTop w:val="0"/>
      <w:marBottom w:val="0"/>
      <w:divBdr>
        <w:top w:val="none" w:sz="0" w:space="0" w:color="auto"/>
        <w:left w:val="none" w:sz="0" w:space="0" w:color="auto"/>
        <w:bottom w:val="none" w:sz="0" w:space="0" w:color="auto"/>
        <w:right w:val="none" w:sz="0" w:space="0" w:color="auto"/>
      </w:divBdr>
      <w:divsChild>
        <w:div w:id="693191416">
          <w:marLeft w:val="0"/>
          <w:marRight w:val="0"/>
          <w:marTop w:val="0"/>
          <w:marBottom w:val="0"/>
          <w:divBdr>
            <w:top w:val="none" w:sz="0" w:space="0" w:color="auto"/>
            <w:left w:val="none" w:sz="0" w:space="0" w:color="auto"/>
            <w:bottom w:val="none" w:sz="0" w:space="0" w:color="auto"/>
            <w:right w:val="none" w:sz="0" w:space="0" w:color="auto"/>
          </w:divBdr>
        </w:div>
      </w:divsChild>
    </w:div>
    <w:div w:id="1184052260">
      <w:bodyDiv w:val="1"/>
      <w:marLeft w:val="0"/>
      <w:marRight w:val="0"/>
      <w:marTop w:val="0"/>
      <w:marBottom w:val="0"/>
      <w:divBdr>
        <w:top w:val="none" w:sz="0" w:space="0" w:color="auto"/>
        <w:left w:val="none" w:sz="0" w:space="0" w:color="auto"/>
        <w:bottom w:val="none" w:sz="0" w:space="0" w:color="auto"/>
        <w:right w:val="none" w:sz="0" w:space="0" w:color="auto"/>
      </w:divBdr>
      <w:divsChild>
        <w:div w:id="1375808722">
          <w:marLeft w:val="0"/>
          <w:marRight w:val="0"/>
          <w:marTop w:val="0"/>
          <w:marBottom w:val="0"/>
          <w:divBdr>
            <w:top w:val="none" w:sz="0" w:space="0" w:color="auto"/>
            <w:left w:val="none" w:sz="0" w:space="0" w:color="auto"/>
            <w:bottom w:val="none" w:sz="0" w:space="0" w:color="auto"/>
            <w:right w:val="none" w:sz="0" w:space="0" w:color="auto"/>
          </w:divBdr>
          <w:divsChild>
            <w:div w:id="90946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2945">
      <w:marLeft w:val="0"/>
      <w:marRight w:val="0"/>
      <w:marTop w:val="0"/>
      <w:marBottom w:val="0"/>
      <w:divBdr>
        <w:top w:val="none" w:sz="0" w:space="0" w:color="auto"/>
        <w:left w:val="none" w:sz="0" w:space="0" w:color="auto"/>
        <w:bottom w:val="none" w:sz="0" w:space="0" w:color="auto"/>
        <w:right w:val="none" w:sz="0" w:space="0" w:color="auto"/>
      </w:divBdr>
    </w:div>
    <w:div w:id="1197087124">
      <w:bodyDiv w:val="1"/>
      <w:marLeft w:val="0"/>
      <w:marRight w:val="0"/>
      <w:marTop w:val="0"/>
      <w:marBottom w:val="0"/>
      <w:divBdr>
        <w:top w:val="none" w:sz="0" w:space="0" w:color="auto"/>
        <w:left w:val="none" w:sz="0" w:space="0" w:color="auto"/>
        <w:bottom w:val="none" w:sz="0" w:space="0" w:color="auto"/>
        <w:right w:val="none" w:sz="0" w:space="0" w:color="auto"/>
      </w:divBdr>
    </w:div>
    <w:div w:id="1197619510">
      <w:bodyDiv w:val="1"/>
      <w:marLeft w:val="0"/>
      <w:marRight w:val="0"/>
      <w:marTop w:val="0"/>
      <w:marBottom w:val="0"/>
      <w:divBdr>
        <w:top w:val="none" w:sz="0" w:space="0" w:color="auto"/>
        <w:left w:val="none" w:sz="0" w:space="0" w:color="auto"/>
        <w:bottom w:val="none" w:sz="0" w:space="0" w:color="auto"/>
        <w:right w:val="none" w:sz="0" w:space="0" w:color="auto"/>
      </w:divBdr>
    </w:div>
    <w:div w:id="1216233649">
      <w:bodyDiv w:val="1"/>
      <w:marLeft w:val="0"/>
      <w:marRight w:val="0"/>
      <w:marTop w:val="0"/>
      <w:marBottom w:val="0"/>
      <w:divBdr>
        <w:top w:val="none" w:sz="0" w:space="0" w:color="auto"/>
        <w:left w:val="none" w:sz="0" w:space="0" w:color="auto"/>
        <w:bottom w:val="none" w:sz="0" w:space="0" w:color="auto"/>
        <w:right w:val="none" w:sz="0" w:space="0" w:color="auto"/>
      </w:divBdr>
    </w:div>
    <w:div w:id="1219971983">
      <w:bodyDiv w:val="1"/>
      <w:marLeft w:val="0"/>
      <w:marRight w:val="0"/>
      <w:marTop w:val="0"/>
      <w:marBottom w:val="0"/>
      <w:divBdr>
        <w:top w:val="none" w:sz="0" w:space="0" w:color="auto"/>
        <w:left w:val="none" w:sz="0" w:space="0" w:color="auto"/>
        <w:bottom w:val="none" w:sz="0" w:space="0" w:color="auto"/>
        <w:right w:val="none" w:sz="0" w:space="0" w:color="auto"/>
      </w:divBdr>
      <w:divsChild>
        <w:div w:id="725031262">
          <w:marLeft w:val="0"/>
          <w:marRight w:val="0"/>
          <w:marTop w:val="0"/>
          <w:marBottom w:val="0"/>
          <w:divBdr>
            <w:top w:val="none" w:sz="0" w:space="0" w:color="auto"/>
            <w:left w:val="none" w:sz="0" w:space="0" w:color="auto"/>
            <w:bottom w:val="none" w:sz="0" w:space="0" w:color="auto"/>
            <w:right w:val="none" w:sz="0" w:space="0" w:color="auto"/>
          </w:divBdr>
          <w:divsChild>
            <w:div w:id="260072292">
              <w:marLeft w:val="0"/>
              <w:marRight w:val="0"/>
              <w:marTop w:val="0"/>
              <w:marBottom w:val="0"/>
              <w:divBdr>
                <w:top w:val="none" w:sz="0" w:space="0" w:color="auto"/>
                <w:left w:val="none" w:sz="0" w:space="0" w:color="auto"/>
                <w:bottom w:val="none" w:sz="0" w:space="0" w:color="auto"/>
                <w:right w:val="none" w:sz="0" w:space="0" w:color="auto"/>
              </w:divBdr>
              <w:divsChild>
                <w:div w:id="1424448716">
                  <w:marLeft w:val="0"/>
                  <w:marRight w:val="0"/>
                  <w:marTop w:val="0"/>
                  <w:marBottom w:val="0"/>
                  <w:divBdr>
                    <w:top w:val="none" w:sz="0" w:space="0" w:color="auto"/>
                    <w:left w:val="none" w:sz="0" w:space="0" w:color="auto"/>
                    <w:bottom w:val="none" w:sz="0" w:space="0" w:color="auto"/>
                    <w:right w:val="none" w:sz="0" w:space="0" w:color="auto"/>
                  </w:divBdr>
                  <w:divsChild>
                    <w:div w:id="665521021">
                      <w:marLeft w:val="-225"/>
                      <w:marRight w:val="-225"/>
                      <w:marTop w:val="0"/>
                      <w:marBottom w:val="0"/>
                      <w:divBdr>
                        <w:top w:val="none" w:sz="0" w:space="0" w:color="auto"/>
                        <w:left w:val="none" w:sz="0" w:space="0" w:color="auto"/>
                        <w:bottom w:val="none" w:sz="0" w:space="0" w:color="auto"/>
                        <w:right w:val="none" w:sz="0" w:space="0" w:color="auto"/>
                      </w:divBdr>
                      <w:divsChild>
                        <w:div w:id="1917130074">
                          <w:marLeft w:val="0"/>
                          <w:marRight w:val="0"/>
                          <w:marTop w:val="0"/>
                          <w:marBottom w:val="0"/>
                          <w:divBdr>
                            <w:top w:val="none" w:sz="0" w:space="0" w:color="auto"/>
                            <w:left w:val="none" w:sz="0" w:space="0" w:color="auto"/>
                            <w:bottom w:val="none" w:sz="0" w:space="0" w:color="auto"/>
                            <w:right w:val="none" w:sz="0" w:space="0" w:color="auto"/>
                          </w:divBdr>
                          <w:divsChild>
                            <w:div w:id="126045609">
                              <w:marLeft w:val="0"/>
                              <w:marRight w:val="0"/>
                              <w:marTop w:val="0"/>
                              <w:marBottom w:val="0"/>
                              <w:divBdr>
                                <w:top w:val="none" w:sz="0" w:space="0" w:color="auto"/>
                                <w:left w:val="none" w:sz="0" w:space="0" w:color="auto"/>
                                <w:bottom w:val="none" w:sz="0" w:space="0" w:color="auto"/>
                                <w:right w:val="none" w:sz="0" w:space="0" w:color="auto"/>
                              </w:divBdr>
                              <w:divsChild>
                                <w:div w:id="1339498482">
                                  <w:marLeft w:val="0"/>
                                  <w:marRight w:val="0"/>
                                  <w:marTop w:val="0"/>
                                  <w:marBottom w:val="0"/>
                                  <w:divBdr>
                                    <w:top w:val="none" w:sz="0" w:space="0" w:color="auto"/>
                                    <w:left w:val="none" w:sz="0" w:space="0" w:color="auto"/>
                                    <w:bottom w:val="none" w:sz="0" w:space="0" w:color="auto"/>
                                    <w:right w:val="none" w:sz="0" w:space="0" w:color="auto"/>
                                  </w:divBdr>
                                  <w:divsChild>
                                    <w:div w:id="1117870025">
                                      <w:marLeft w:val="0"/>
                                      <w:marRight w:val="0"/>
                                      <w:marTop w:val="0"/>
                                      <w:marBottom w:val="0"/>
                                      <w:divBdr>
                                        <w:top w:val="none" w:sz="0" w:space="0" w:color="auto"/>
                                        <w:left w:val="none" w:sz="0" w:space="0" w:color="auto"/>
                                        <w:bottom w:val="none" w:sz="0" w:space="0" w:color="auto"/>
                                        <w:right w:val="none" w:sz="0" w:space="0" w:color="auto"/>
                                      </w:divBdr>
                                      <w:divsChild>
                                        <w:div w:id="2058774704">
                                          <w:marLeft w:val="0"/>
                                          <w:marRight w:val="0"/>
                                          <w:marTop w:val="0"/>
                                          <w:marBottom w:val="0"/>
                                          <w:divBdr>
                                            <w:top w:val="none" w:sz="0" w:space="0" w:color="auto"/>
                                            <w:left w:val="none" w:sz="0" w:space="0" w:color="auto"/>
                                            <w:bottom w:val="none" w:sz="0" w:space="0" w:color="auto"/>
                                            <w:right w:val="none" w:sz="0" w:space="0" w:color="auto"/>
                                          </w:divBdr>
                                          <w:divsChild>
                                            <w:div w:id="1908689405">
                                              <w:marLeft w:val="0"/>
                                              <w:marRight w:val="0"/>
                                              <w:marTop w:val="0"/>
                                              <w:marBottom w:val="0"/>
                                              <w:divBdr>
                                                <w:top w:val="none" w:sz="0" w:space="0" w:color="auto"/>
                                                <w:left w:val="none" w:sz="0" w:space="0" w:color="auto"/>
                                                <w:bottom w:val="none" w:sz="0" w:space="0" w:color="auto"/>
                                                <w:right w:val="none" w:sz="0" w:space="0" w:color="auto"/>
                                              </w:divBdr>
                                              <w:divsChild>
                                                <w:div w:id="2004316935">
                                                  <w:marLeft w:val="0"/>
                                                  <w:marRight w:val="0"/>
                                                  <w:marTop w:val="0"/>
                                                  <w:marBottom w:val="0"/>
                                                  <w:divBdr>
                                                    <w:top w:val="none" w:sz="0" w:space="0" w:color="auto"/>
                                                    <w:left w:val="none" w:sz="0" w:space="0" w:color="auto"/>
                                                    <w:bottom w:val="none" w:sz="0" w:space="0" w:color="auto"/>
                                                    <w:right w:val="none" w:sz="0" w:space="0" w:color="auto"/>
                                                  </w:divBdr>
                                                  <w:divsChild>
                                                    <w:div w:id="1905600318">
                                                      <w:marLeft w:val="0"/>
                                                      <w:marRight w:val="0"/>
                                                      <w:marTop w:val="0"/>
                                                      <w:marBottom w:val="0"/>
                                                      <w:divBdr>
                                                        <w:top w:val="none" w:sz="0" w:space="0" w:color="auto"/>
                                                        <w:left w:val="none" w:sz="0" w:space="0" w:color="auto"/>
                                                        <w:bottom w:val="none" w:sz="0" w:space="0" w:color="auto"/>
                                                        <w:right w:val="none" w:sz="0" w:space="0" w:color="auto"/>
                                                      </w:divBdr>
                                                      <w:divsChild>
                                                        <w:div w:id="1520771628">
                                                          <w:marLeft w:val="0"/>
                                                          <w:marRight w:val="0"/>
                                                          <w:marTop w:val="0"/>
                                                          <w:marBottom w:val="0"/>
                                                          <w:divBdr>
                                                            <w:top w:val="none" w:sz="0" w:space="0" w:color="auto"/>
                                                            <w:left w:val="none" w:sz="0" w:space="0" w:color="auto"/>
                                                            <w:bottom w:val="none" w:sz="0" w:space="0" w:color="auto"/>
                                                            <w:right w:val="none" w:sz="0" w:space="0" w:color="auto"/>
                                                          </w:divBdr>
                                                          <w:divsChild>
                                                            <w:div w:id="1716810092">
                                                              <w:marLeft w:val="0"/>
                                                              <w:marRight w:val="0"/>
                                                              <w:marTop w:val="0"/>
                                                              <w:marBottom w:val="0"/>
                                                              <w:divBdr>
                                                                <w:top w:val="none" w:sz="0" w:space="0" w:color="auto"/>
                                                                <w:left w:val="none" w:sz="0" w:space="0" w:color="auto"/>
                                                                <w:bottom w:val="none" w:sz="0" w:space="0" w:color="auto"/>
                                                                <w:right w:val="none" w:sz="0" w:space="0" w:color="auto"/>
                                                              </w:divBdr>
                                                              <w:divsChild>
                                                                <w:div w:id="6154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2138275">
      <w:bodyDiv w:val="1"/>
      <w:marLeft w:val="0"/>
      <w:marRight w:val="0"/>
      <w:marTop w:val="0"/>
      <w:marBottom w:val="0"/>
      <w:divBdr>
        <w:top w:val="none" w:sz="0" w:space="0" w:color="auto"/>
        <w:left w:val="none" w:sz="0" w:space="0" w:color="auto"/>
        <w:bottom w:val="none" w:sz="0" w:space="0" w:color="auto"/>
        <w:right w:val="none" w:sz="0" w:space="0" w:color="auto"/>
      </w:divBdr>
      <w:divsChild>
        <w:div w:id="48068875">
          <w:marLeft w:val="0"/>
          <w:marRight w:val="0"/>
          <w:marTop w:val="0"/>
          <w:marBottom w:val="0"/>
          <w:divBdr>
            <w:top w:val="none" w:sz="0" w:space="0" w:color="auto"/>
            <w:left w:val="none" w:sz="0" w:space="0" w:color="auto"/>
            <w:bottom w:val="none" w:sz="0" w:space="0" w:color="auto"/>
            <w:right w:val="none" w:sz="0" w:space="0" w:color="auto"/>
          </w:divBdr>
          <w:divsChild>
            <w:div w:id="107899228">
              <w:marLeft w:val="0"/>
              <w:marRight w:val="0"/>
              <w:marTop w:val="100"/>
              <w:marBottom w:val="100"/>
              <w:divBdr>
                <w:top w:val="none" w:sz="0" w:space="0" w:color="auto"/>
                <w:left w:val="none" w:sz="0" w:space="0" w:color="auto"/>
                <w:bottom w:val="none" w:sz="0" w:space="0" w:color="auto"/>
                <w:right w:val="none" w:sz="0" w:space="0" w:color="auto"/>
              </w:divBdr>
              <w:divsChild>
                <w:div w:id="276836996">
                  <w:marLeft w:val="0"/>
                  <w:marRight w:val="0"/>
                  <w:marTop w:val="0"/>
                  <w:marBottom w:val="0"/>
                  <w:divBdr>
                    <w:top w:val="none" w:sz="0" w:space="0" w:color="auto"/>
                    <w:left w:val="none" w:sz="0" w:space="0" w:color="auto"/>
                    <w:bottom w:val="none" w:sz="0" w:space="0" w:color="auto"/>
                    <w:right w:val="none" w:sz="0" w:space="0" w:color="auto"/>
                  </w:divBdr>
                  <w:divsChild>
                    <w:div w:id="409473346">
                      <w:marLeft w:val="0"/>
                      <w:marRight w:val="0"/>
                      <w:marTop w:val="300"/>
                      <w:marBottom w:val="0"/>
                      <w:divBdr>
                        <w:top w:val="none" w:sz="0" w:space="0" w:color="auto"/>
                        <w:left w:val="none" w:sz="0" w:space="0" w:color="auto"/>
                        <w:bottom w:val="none" w:sz="0" w:space="0" w:color="auto"/>
                        <w:right w:val="none" w:sz="0" w:space="0" w:color="auto"/>
                      </w:divBdr>
                      <w:divsChild>
                        <w:div w:id="765617957">
                          <w:marLeft w:val="0"/>
                          <w:marRight w:val="0"/>
                          <w:marTop w:val="0"/>
                          <w:marBottom w:val="0"/>
                          <w:divBdr>
                            <w:top w:val="none" w:sz="0" w:space="0" w:color="auto"/>
                            <w:left w:val="none" w:sz="0" w:space="0" w:color="auto"/>
                            <w:bottom w:val="none" w:sz="0" w:space="0" w:color="auto"/>
                            <w:right w:val="none" w:sz="0" w:space="0" w:color="auto"/>
                          </w:divBdr>
                          <w:divsChild>
                            <w:div w:id="1182865017">
                              <w:marLeft w:val="0"/>
                              <w:marRight w:val="0"/>
                              <w:marTop w:val="0"/>
                              <w:marBottom w:val="0"/>
                              <w:divBdr>
                                <w:top w:val="none" w:sz="0" w:space="0" w:color="auto"/>
                                <w:left w:val="none" w:sz="0" w:space="0" w:color="auto"/>
                                <w:bottom w:val="none" w:sz="0" w:space="0" w:color="auto"/>
                                <w:right w:val="none" w:sz="0" w:space="0" w:color="auto"/>
                              </w:divBdr>
                              <w:divsChild>
                                <w:div w:id="1935943241">
                                  <w:marLeft w:val="0"/>
                                  <w:marRight w:val="0"/>
                                  <w:marTop w:val="0"/>
                                  <w:marBottom w:val="0"/>
                                  <w:divBdr>
                                    <w:top w:val="none" w:sz="0" w:space="0" w:color="auto"/>
                                    <w:left w:val="none" w:sz="0" w:space="0" w:color="auto"/>
                                    <w:bottom w:val="none" w:sz="0" w:space="0" w:color="auto"/>
                                    <w:right w:val="none" w:sz="0" w:space="0" w:color="auto"/>
                                  </w:divBdr>
                                  <w:divsChild>
                                    <w:div w:id="1270355799">
                                      <w:marLeft w:val="0"/>
                                      <w:marRight w:val="0"/>
                                      <w:marTop w:val="0"/>
                                      <w:marBottom w:val="0"/>
                                      <w:divBdr>
                                        <w:top w:val="none" w:sz="0" w:space="0" w:color="auto"/>
                                        <w:left w:val="none" w:sz="0" w:space="0" w:color="auto"/>
                                        <w:bottom w:val="none" w:sz="0" w:space="0" w:color="auto"/>
                                        <w:right w:val="none" w:sz="0" w:space="0" w:color="auto"/>
                                      </w:divBdr>
                                      <w:divsChild>
                                        <w:div w:id="1227381371">
                                          <w:marLeft w:val="0"/>
                                          <w:marRight w:val="0"/>
                                          <w:marTop w:val="0"/>
                                          <w:marBottom w:val="0"/>
                                          <w:divBdr>
                                            <w:top w:val="none" w:sz="0" w:space="0" w:color="auto"/>
                                            <w:left w:val="none" w:sz="0" w:space="0" w:color="auto"/>
                                            <w:bottom w:val="none" w:sz="0" w:space="0" w:color="auto"/>
                                            <w:right w:val="none" w:sz="0" w:space="0" w:color="auto"/>
                                          </w:divBdr>
                                          <w:divsChild>
                                            <w:div w:id="1496146479">
                                              <w:marLeft w:val="0"/>
                                              <w:marRight w:val="0"/>
                                              <w:marTop w:val="0"/>
                                              <w:marBottom w:val="0"/>
                                              <w:divBdr>
                                                <w:top w:val="none" w:sz="0" w:space="0" w:color="auto"/>
                                                <w:left w:val="none" w:sz="0" w:space="0" w:color="auto"/>
                                                <w:bottom w:val="none" w:sz="0" w:space="0" w:color="auto"/>
                                                <w:right w:val="none" w:sz="0" w:space="0" w:color="auto"/>
                                              </w:divBdr>
                                              <w:divsChild>
                                                <w:div w:id="1226453681">
                                                  <w:marLeft w:val="0"/>
                                                  <w:marRight w:val="0"/>
                                                  <w:marTop w:val="0"/>
                                                  <w:marBottom w:val="0"/>
                                                  <w:divBdr>
                                                    <w:top w:val="none" w:sz="0" w:space="0" w:color="auto"/>
                                                    <w:left w:val="none" w:sz="0" w:space="0" w:color="auto"/>
                                                    <w:bottom w:val="none" w:sz="0" w:space="0" w:color="auto"/>
                                                    <w:right w:val="none" w:sz="0" w:space="0" w:color="auto"/>
                                                  </w:divBdr>
                                                  <w:divsChild>
                                                    <w:div w:id="20494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869058">
      <w:bodyDiv w:val="1"/>
      <w:marLeft w:val="0"/>
      <w:marRight w:val="0"/>
      <w:marTop w:val="0"/>
      <w:marBottom w:val="0"/>
      <w:divBdr>
        <w:top w:val="none" w:sz="0" w:space="0" w:color="auto"/>
        <w:left w:val="none" w:sz="0" w:space="0" w:color="auto"/>
        <w:bottom w:val="none" w:sz="0" w:space="0" w:color="auto"/>
        <w:right w:val="none" w:sz="0" w:space="0" w:color="auto"/>
      </w:divBdr>
      <w:divsChild>
        <w:div w:id="1393889817">
          <w:marLeft w:val="0"/>
          <w:marRight w:val="0"/>
          <w:marTop w:val="0"/>
          <w:marBottom w:val="0"/>
          <w:divBdr>
            <w:top w:val="none" w:sz="0" w:space="0" w:color="auto"/>
            <w:left w:val="none" w:sz="0" w:space="0" w:color="auto"/>
            <w:bottom w:val="none" w:sz="0" w:space="0" w:color="auto"/>
            <w:right w:val="none" w:sz="0" w:space="0" w:color="auto"/>
          </w:divBdr>
        </w:div>
      </w:divsChild>
    </w:div>
    <w:div w:id="1230919519">
      <w:bodyDiv w:val="1"/>
      <w:marLeft w:val="0"/>
      <w:marRight w:val="0"/>
      <w:marTop w:val="0"/>
      <w:marBottom w:val="0"/>
      <w:divBdr>
        <w:top w:val="none" w:sz="0" w:space="0" w:color="auto"/>
        <w:left w:val="none" w:sz="0" w:space="0" w:color="auto"/>
        <w:bottom w:val="none" w:sz="0" w:space="0" w:color="auto"/>
        <w:right w:val="none" w:sz="0" w:space="0" w:color="auto"/>
      </w:divBdr>
    </w:div>
    <w:div w:id="1241452681">
      <w:bodyDiv w:val="1"/>
      <w:marLeft w:val="0"/>
      <w:marRight w:val="0"/>
      <w:marTop w:val="0"/>
      <w:marBottom w:val="0"/>
      <w:divBdr>
        <w:top w:val="none" w:sz="0" w:space="0" w:color="auto"/>
        <w:left w:val="none" w:sz="0" w:space="0" w:color="auto"/>
        <w:bottom w:val="none" w:sz="0" w:space="0" w:color="auto"/>
        <w:right w:val="none" w:sz="0" w:space="0" w:color="auto"/>
      </w:divBdr>
    </w:div>
    <w:div w:id="1253011972">
      <w:bodyDiv w:val="1"/>
      <w:marLeft w:val="0"/>
      <w:marRight w:val="0"/>
      <w:marTop w:val="0"/>
      <w:marBottom w:val="0"/>
      <w:divBdr>
        <w:top w:val="none" w:sz="0" w:space="0" w:color="auto"/>
        <w:left w:val="none" w:sz="0" w:space="0" w:color="auto"/>
        <w:bottom w:val="none" w:sz="0" w:space="0" w:color="auto"/>
        <w:right w:val="none" w:sz="0" w:space="0" w:color="auto"/>
      </w:divBdr>
    </w:div>
    <w:div w:id="1253590127">
      <w:bodyDiv w:val="1"/>
      <w:marLeft w:val="0"/>
      <w:marRight w:val="0"/>
      <w:marTop w:val="0"/>
      <w:marBottom w:val="0"/>
      <w:divBdr>
        <w:top w:val="none" w:sz="0" w:space="0" w:color="auto"/>
        <w:left w:val="none" w:sz="0" w:space="0" w:color="auto"/>
        <w:bottom w:val="none" w:sz="0" w:space="0" w:color="auto"/>
        <w:right w:val="none" w:sz="0" w:space="0" w:color="auto"/>
      </w:divBdr>
      <w:divsChild>
        <w:div w:id="1967589495">
          <w:marLeft w:val="0"/>
          <w:marRight w:val="0"/>
          <w:marTop w:val="0"/>
          <w:marBottom w:val="0"/>
          <w:divBdr>
            <w:top w:val="none" w:sz="0" w:space="0" w:color="auto"/>
            <w:left w:val="none" w:sz="0" w:space="0" w:color="auto"/>
            <w:bottom w:val="none" w:sz="0" w:space="0" w:color="auto"/>
            <w:right w:val="none" w:sz="0" w:space="0" w:color="auto"/>
          </w:divBdr>
        </w:div>
      </w:divsChild>
    </w:div>
    <w:div w:id="1256747769">
      <w:bodyDiv w:val="1"/>
      <w:marLeft w:val="0"/>
      <w:marRight w:val="0"/>
      <w:marTop w:val="0"/>
      <w:marBottom w:val="0"/>
      <w:divBdr>
        <w:top w:val="none" w:sz="0" w:space="0" w:color="auto"/>
        <w:left w:val="none" w:sz="0" w:space="0" w:color="auto"/>
        <w:bottom w:val="none" w:sz="0" w:space="0" w:color="auto"/>
        <w:right w:val="none" w:sz="0" w:space="0" w:color="auto"/>
      </w:divBdr>
      <w:divsChild>
        <w:div w:id="1480271089">
          <w:marLeft w:val="0"/>
          <w:marRight w:val="0"/>
          <w:marTop w:val="0"/>
          <w:marBottom w:val="0"/>
          <w:divBdr>
            <w:top w:val="none" w:sz="0" w:space="0" w:color="auto"/>
            <w:left w:val="none" w:sz="0" w:space="0" w:color="auto"/>
            <w:bottom w:val="none" w:sz="0" w:space="0" w:color="auto"/>
            <w:right w:val="none" w:sz="0" w:space="0" w:color="auto"/>
          </w:divBdr>
          <w:divsChild>
            <w:div w:id="1566329977">
              <w:marLeft w:val="0"/>
              <w:marRight w:val="0"/>
              <w:marTop w:val="0"/>
              <w:marBottom w:val="0"/>
              <w:divBdr>
                <w:top w:val="none" w:sz="0" w:space="0" w:color="auto"/>
                <w:left w:val="none" w:sz="0" w:space="0" w:color="auto"/>
                <w:bottom w:val="none" w:sz="0" w:space="0" w:color="auto"/>
                <w:right w:val="none" w:sz="0" w:space="0" w:color="auto"/>
              </w:divBdr>
              <w:divsChild>
                <w:div w:id="794641148">
                  <w:marLeft w:val="0"/>
                  <w:marRight w:val="0"/>
                  <w:marTop w:val="0"/>
                  <w:marBottom w:val="0"/>
                  <w:divBdr>
                    <w:top w:val="none" w:sz="0" w:space="0" w:color="auto"/>
                    <w:left w:val="none" w:sz="0" w:space="0" w:color="auto"/>
                    <w:bottom w:val="none" w:sz="0" w:space="0" w:color="auto"/>
                    <w:right w:val="none" w:sz="0" w:space="0" w:color="auto"/>
                  </w:divBdr>
                  <w:divsChild>
                    <w:div w:id="2050379022">
                      <w:marLeft w:val="0"/>
                      <w:marRight w:val="0"/>
                      <w:marTop w:val="0"/>
                      <w:marBottom w:val="0"/>
                      <w:divBdr>
                        <w:top w:val="none" w:sz="0" w:space="0" w:color="auto"/>
                        <w:left w:val="none" w:sz="0" w:space="0" w:color="auto"/>
                        <w:bottom w:val="none" w:sz="0" w:space="0" w:color="auto"/>
                        <w:right w:val="none" w:sz="0" w:space="0" w:color="auto"/>
                      </w:divBdr>
                      <w:divsChild>
                        <w:div w:id="1289436744">
                          <w:marLeft w:val="0"/>
                          <w:marRight w:val="0"/>
                          <w:marTop w:val="0"/>
                          <w:marBottom w:val="0"/>
                          <w:divBdr>
                            <w:top w:val="none" w:sz="0" w:space="0" w:color="auto"/>
                            <w:left w:val="none" w:sz="0" w:space="0" w:color="auto"/>
                            <w:bottom w:val="none" w:sz="0" w:space="0" w:color="auto"/>
                            <w:right w:val="none" w:sz="0" w:space="0" w:color="auto"/>
                          </w:divBdr>
                          <w:divsChild>
                            <w:div w:id="1099368163">
                              <w:marLeft w:val="0"/>
                              <w:marRight w:val="0"/>
                              <w:marTop w:val="0"/>
                              <w:marBottom w:val="0"/>
                              <w:divBdr>
                                <w:top w:val="none" w:sz="0" w:space="0" w:color="auto"/>
                                <w:left w:val="none" w:sz="0" w:space="0" w:color="auto"/>
                                <w:bottom w:val="none" w:sz="0" w:space="0" w:color="auto"/>
                                <w:right w:val="none" w:sz="0" w:space="0" w:color="auto"/>
                              </w:divBdr>
                              <w:divsChild>
                                <w:div w:id="1485202577">
                                  <w:marLeft w:val="0"/>
                                  <w:marRight w:val="0"/>
                                  <w:marTop w:val="0"/>
                                  <w:marBottom w:val="0"/>
                                  <w:divBdr>
                                    <w:top w:val="none" w:sz="0" w:space="0" w:color="auto"/>
                                    <w:left w:val="none" w:sz="0" w:space="0" w:color="auto"/>
                                    <w:bottom w:val="none" w:sz="0" w:space="0" w:color="auto"/>
                                    <w:right w:val="none" w:sz="0" w:space="0" w:color="auto"/>
                                  </w:divBdr>
                                  <w:divsChild>
                                    <w:div w:id="745229129">
                                      <w:marLeft w:val="0"/>
                                      <w:marRight w:val="0"/>
                                      <w:marTop w:val="0"/>
                                      <w:marBottom w:val="0"/>
                                      <w:divBdr>
                                        <w:top w:val="none" w:sz="0" w:space="0" w:color="auto"/>
                                        <w:left w:val="none" w:sz="0" w:space="0" w:color="auto"/>
                                        <w:bottom w:val="none" w:sz="0" w:space="0" w:color="auto"/>
                                        <w:right w:val="none" w:sz="0" w:space="0" w:color="auto"/>
                                      </w:divBdr>
                                      <w:divsChild>
                                        <w:div w:id="1888951476">
                                          <w:marLeft w:val="0"/>
                                          <w:marRight w:val="0"/>
                                          <w:marTop w:val="0"/>
                                          <w:marBottom w:val="0"/>
                                          <w:divBdr>
                                            <w:top w:val="none" w:sz="0" w:space="0" w:color="auto"/>
                                            <w:left w:val="none" w:sz="0" w:space="0" w:color="auto"/>
                                            <w:bottom w:val="none" w:sz="0" w:space="0" w:color="auto"/>
                                            <w:right w:val="none" w:sz="0" w:space="0" w:color="auto"/>
                                          </w:divBdr>
                                          <w:divsChild>
                                            <w:div w:id="1671251719">
                                              <w:marLeft w:val="0"/>
                                              <w:marRight w:val="0"/>
                                              <w:marTop w:val="0"/>
                                              <w:marBottom w:val="0"/>
                                              <w:divBdr>
                                                <w:top w:val="none" w:sz="0" w:space="0" w:color="auto"/>
                                                <w:left w:val="none" w:sz="0" w:space="0" w:color="auto"/>
                                                <w:bottom w:val="none" w:sz="0" w:space="0" w:color="auto"/>
                                                <w:right w:val="none" w:sz="0" w:space="0" w:color="auto"/>
                                              </w:divBdr>
                                              <w:divsChild>
                                                <w:div w:id="1727416591">
                                                  <w:marLeft w:val="0"/>
                                                  <w:marRight w:val="0"/>
                                                  <w:marTop w:val="0"/>
                                                  <w:marBottom w:val="0"/>
                                                  <w:divBdr>
                                                    <w:top w:val="none" w:sz="0" w:space="0" w:color="auto"/>
                                                    <w:left w:val="none" w:sz="0" w:space="0" w:color="auto"/>
                                                    <w:bottom w:val="none" w:sz="0" w:space="0" w:color="auto"/>
                                                    <w:right w:val="none" w:sz="0" w:space="0" w:color="auto"/>
                                                  </w:divBdr>
                                                  <w:divsChild>
                                                    <w:div w:id="19885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790453">
      <w:bodyDiv w:val="1"/>
      <w:marLeft w:val="0"/>
      <w:marRight w:val="0"/>
      <w:marTop w:val="0"/>
      <w:marBottom w:val="0"/>
      <w:divBdr>
        <w:top w:val="none" w:sz="0" w:space="0" w:color="auto"/>
        <w:left w:val="none" w:sz="0" w:space="0" w:color="auto"/>
        <w:bottom w:val="none" w:sz="0" w:space="0" w:color="auto"/>
        <w:right w:val="none" w:sz="0" w:space="0" w:color="auto"/>
      </w:divBdr>
    </w:div>
    <w:div w:id="1271743970">
      <w:bodyDiv w:val="1"/>
      <w:marLeft w:val="0"/>
      <w:marRight w:val="0"/>
      <w:marTop w:val="0"/>
      <w:marBottom w:val="0"/>
      <w:divBdr>
        <w:top w:val="none" w:sz="0" w:space="0" w:color="auto"/>
        <w:left w:val="none" w:sz="0" w:space="0" w:color="auto"/>
        <w:bottom w:val="none" w:sz="0" w:space="0" w:color="auto"/>
        <w:right w:val="none" w:sz="0" w:space="0" w:color="auto"/>
      </w:divBdr>
    </w:div>
    <w:div w:id="1292906549">
      <w:bodyDiv w:val="1"/>
      <w:marLeft w:val="0"/>
      <w:marRight w:val="0"/>
      <w:marTop w:val="0"/>
      <w:marBottom w:val="0"/>
      <w:divBdr>
        <w:top w:val="none" w:sz="0" w:space="0" w:color="auto"/>
        <w:left w:val="none" w:sz="0" w:space="0" w:color="auto"/>
        <w:bottom w:val="none" w:sz="0" w:space="0" w:color="auto"/>
        <w:right w:val="none" w:sz="0" w:space="0" w:color="auto"/>
      </w:divBdr>
    </w:div>
    <w:div w:id="1299797143">
      <w:bodyDiv w:val="1"/>
      <w:marLeft w:val="0"/>
      <w:marRight w:val="0"/>
      <w:marTop w:val="0"/>
      <w:marBottom w:val="0"/>
      <w:divBdr>
        <w:top w:val="none" w:sz="0" w:space="0" w:color="auto"/>
        <w:left w:val="none" w:sz="0" w:space="0" w:color="auto"/>
        <w:bottom w:val="none" w:sz="0" w:space="0" w:color="auto"/>
        <w:right w:val="none" w:sz="0" w:space="0" w:color="auto"/>
      </w:divBdr>
    </w:div>
    <w:div w:id="1313439303">
      <w:bodyDiv w:val="1"/>
      <w:marLeft w:val="0"/>
      <w:marRight w:val="0"/>
      <w:marTop w:val="0"/>
      <w:marBottom w:val="0"/>
      <w:divBdr>
        <w:top w:val="none" w:sz="0" w:space="0" w:color="auto"/>
        <w:left w:val="none" w:sz="0" w:space="0" w:color="auto"/>
        <w:bottom w:val="none" w:sz="0" w:space="0" w:color="auto"/>
        <w:right w:val="none" w:sz="0" w:space="0" w:color="auto"/>
      </w:divBdr>
    </w:div>
    <w:div w:id="1326317585">
      <w:bodyDiv w:val="1"/>
      <w:marLeft w:val="0"/>
      <w:marRight w:val="0"/>
      <w:marTop w:val="0"/>
      <w:marBottom w:val="0"/>
      <w:divBdr>
        <w:top w:val="none" w:sz="0" w:space="0" w:color="auto"/>
        <w:left w:val="none" w:sz="0" w:space="0" w:color="auto"/>
        <w:bottom w:val="none" w:sz="0" w:space="0" w:color="auto"/>
        <w:right w:val="none" w:sz="0" w:space="0" w:color="auto"/>
      </w:divBdr>
    </w:div>
    <w:div w:id="1333332784">
      <w:bodyDiv w:val="1"/>
      <w:marLeft w:val="0"/>
      <w:marRight w:val="0"/>
      <w:marTop w:val="0"/>
      <w:marBottom w:val="0"/>
      <w:divBdr>
        <w:top w:val="none" w:sz="0" w:space="0" w:color="auto"/>
        <w:left w:val="none" w:sz="0" w:space="0" w:color="auto"/>
        <w:bottom w:val="none" w:sz="0" w:space="0" w:color="auto"/>
        <w:right w:val="none" w:sz="0" w:space="0" w:color="auto"/>
      </w:divBdr>
      <w:divsChild>
        <w:div w:id="1100761120">
          <w:marLeft w:val="0"/>
          <w:marRight w:val="0"/>
          <w:marTop w:val="0"/>
          <w:marBottom w:val="0"/>
          <w:divBdr>
            <w:top w:val="none" w:sz="0" w:space="0" w:color="auto"/>
            <w:left w:val="none" w:sz="0" w:space="0" w:color="auto"/>
            <w:bottom w:val="none" w:sz="0" w:space="0" w:color="auto"/>
            <w:right w:val="none" w:sz="0" w:space="0" w:color="auto"/>
          </w:divBdr>
          <w:divsChild>
            <w:div w:id="8740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20801">
      <w:bodyDiv w:val="1"/>
      <w:marLeft w:val="0"/>
      <w:marRight w:val="0"/>
      <w:marTop w:val="0"/>
      <w:marBottom w:val="0"/>
      <w:divBdr>
        <w:top w:val="none" w:sz="0" w:space="0" w:color="auto"/>
        <w:left w:val="none" w:sz="0" w:space="0" w:color="auto"/>
        <w:bottom w:val="none" w:sz="0" w:space="0" w:color="auto"/>
        <w:right w:val="none" w:sz="0" w:space="0" w:color="auto"/>
      </w:divBdr>
    </w:div>
    <w:div w:id="1345742877">
      <w:bodyDiv w:val="1"/>
      <w:marLeft w:val="0"/>
      <w:marRight w:val="0"/>
      <w:marTop w:val="0"/>
      <w:marBottom w:val="0"/>
      <w:divBdr>
        <w:top w:val="none" w:sz="0" w:space="0" w:color="auto"/>
        <w:left w:val="none" w:sz="0" w:space="0" w:color="auto"/>
        <w:bottom w:val="none" w:sz="0" w:space="0" w:color="auto"/>
        <w:right w:val="none" w:sz="0" w:space="0" w:color="auto"/>
      </w:divBdr>
    </w:div>
    <w:div w:id="1351175344">
      <w:bodyDiv w:val="1"/>
      <w:marLeft w:val="0"/>
      <w:marRight w:val="0"/>
      <w:marTop w:val="0"/>
      <w:marBottom w:val="0"/>
      <w:divBdr>
        <w:top w:val="none" w:sz="0" w:space="0" w:color="auto"/>
        <w:left w:val="none" w:sz="0" w:space="0" w:color="auto"/>
        <w:bottom w:val="none" w:sz="0" w:space="0" w:color="auto"/>
        <w:right w:val="none" w:sz="0" w:space="0" w:color="auto"/>
      </w:divBdr>
    </w:div>
    <w:div w:id="1358777896">
      <w:bodyDiv w:val="1"/>
      <w:marLeft w:val="0"/>
      <w:marRight w:val="0"/>
      <w:marTop w:val="0"/>
      <w:marBottom w:val="0"/>
      <w:divBdr>
        <w:top w:val="none" w:sz="0" w:space="0" w:color="auto"/>
        <w:left w:val="none" w:sz="0" w:space="0" w:color="auto"/>
        <w:bottom w:val="none" w:sz="0" w:space="0" w:color="auto"/>
        <w:right w:val="none" w:sz="0" w:space="0" w:color="auto"/>
      </w:divBdr>
    </w:div>
    <w:div w:id="1361316961">
      <w:bodyDiv w:val="1"/>
      <w:marLeft w:val="0"/>
      <w:marRight w:val="0"/>
      <w:marTop w:val="0"/>
      <w:marBottom w:val="0"/>
      <w:divBdr>
        <w:top w:val="none" w:sz="0" w:space="0" w:color="auto"/>
        <w:left w:val="none" w:sz="0" w:space="0" w:color="auto"/>
        <w:bottom w:val="none" w:sz="0" w:space="0" w:color="auto"/>
        <w:right w:val="none" w:sz="0" w:space="0" w:color="auto"/>
      </w:divBdr>
      <w:divsChild>
        <w:div w:id="913472277">
          <w:marLeft w:val="0"/>
          <w:marRight w:val="0"/>
          <w:marTop w:val="0"/>
          <w:marBottom w:val="0"/>
          <w:divBdr>
            <w:top w:val="none" w:sz="0" w:space="0" w:color="auto"/>
            <w:left w:val="none" w:sz="0" w:space="0" w:color="auto"/>
            <w:bottom w:val="none" w:sz="0" w:space="0" w:color="auto"/>
            <w:right w:val="none" w:sz="0" w:space="0" w:color="auto"/>
          </w:divBdr>
          <w:divsChild>
            <w:div w:id="41944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62306">
      <w:bodyDiv w:val="1"/>
      <w:marLeft w:val="0"/>
      <w:marRight w:val="0"/>
      <w:marTop w:val="0"/>
      <w:marBottom w:val="0"/>
      <w:divBdr>
        <w:top w:val="none" w:sz="0" w:space="0" w:color="auto"/>
        <w:left w:val="none" w:sz="0" w:space="0" w:color="auto"/>
        <w:bottom w:val="none" w:sz="0" w:space="0" w:color="auto"/>
        <w:right w:val="none" w:sz="0" w:space="0" w:color="auto"/>
      </w:divBdr>
      <w:divsChild>
        <w:div w:id="1955671934">
          <w:marLeft w:val="0"/>
          <w:marRight w:val="0"/>
          <w:marTop w:val="0"/>
          <w:marBottom w:val="0"/>
          <w:divBdr>
            <w:top w:val="none" w:sz="0" w:space="0" w:color="auto"/>
            <w:left w:val="none" w:sz="0" w:space="0" w:color="auto"/>
            <w:bottom w:val="none" w:sz="0" w:space="0" w:color="auto"/>
            <w:right w:val="none" w:sz="0" w:space="0" w:color="auto"/>
          </w:divBdr>
          <w:divsChild>
            <w:div w:id="2984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7576">
      <w:bodyDiv w:val="1"/>
      <w:marLeft w:val="0"/>
      <w:marRight w:val="0"/>
      <w:marTop w:val="0"/>
      <w:marBottom w:val="0"/>
      <w:divBdr>
        <w:top w:val="none" w:sz="0" w:space="0" w:color="auto"/>
        <w:left w:val="none" w:sz="0" w:space="0" w:color="auto"/>
        <w:bottom w:val="none" w:sz="0" w:space="0" w:color="auto"/>
        <w:right w:val="none" w:sz="0" w:space="0" w:color="auto"/>
      </w:divBdr>
    </w:div>
    <w:div w:id="1387990598">
      <w:bodyDiv w:val="1"/>
      <w:marLeft w:val="0"/>
      <w:marRight w:val="0"/>
      <w:marTop w:val="0"/>
      <w:marBottom w:val="0"/>
      <w:divBdr>
        <w:top w:val="none" w:sz="0" w:space="0" w:color="auto"/>
        <w:left w:val="none" w:sz="0" w:space="0" w:color="auto"/>
        <w:bottom w:val="none" w:sz="0" w:space="0" w:color="auto"/>
        <w:right w:val="none" w:sz="0" w:space="0" w:color="auto"/>
      </w:divBdr>
    </w:div>
    <w:div w:id="1398673508">
      <w:bodyDiv w:val="1"/>
      <w:marLeft w:val="0"/>
      <w:marRight w:val="0"/>
      <w:marTop w:val="0"/>
      <w:marBottom w:val="0"/>
      <w:divBdr>
        <w:top w:val="none" w:sz="0" w:space="0" w:color="auto"/>
        <w:left w:val="none" w:sz="0" w:space="0" w:color="auto"/>
        <w:bottom w:val="none" w:sz="0" w:space="0" w:color="auto"/>
        <w:right w:val="none" w:sz="0" w:space="0" w:color="auto"/>
      </w:divBdr>
    </w:div>
    <w:div w:id="1399985636">
      <w:bodyDiv w:val="1"/>
      <w:marLeft w:val="0"/>
      <w:marRight w:val="0"/>
      <w:marTop w:val="0"/>
      <w:marBottom w:val="0"/>
      <w:divBdr>
        <w:top w:val="none" w:sz="0" w:space="0" w:color="auto"/>
        <w:left w:val="none" w:sz="0" w:space="0" w:color="auto"/>
        <w:bottom w:val="none" w:sz="0" w:space="0" w:color="auto"/>
        <w:right w:val="none" w:sz="0" w:space="0" w:color="auto"/>
      </w:divBdr>
    </w:div>
    <w:div w:id="1415857949">
      <w:bodyDiv w:val="1"/>
      <w:marLeft w:val="0"/>
      <w:marRight w:val="0"/>
      <w:marTop w:val="0"/>
      <w:marBottom w:val="0"/>
      <w:divBdr>
        <w:top w:val="none" w:sz="0" w:space="0" w:color="auto"/>
        <w:left w:val="none" w:sz="0" w:space="0" w:color="auto"/>
        <w:bottom w:val="none" w:sz="0" w:space="0" w:color="auto"/>
        <w:right w:val="none" w:sz="0" w:space="0" w:color="auto"/>
      </w:divBdr>
      <w:divsChild>
        <w:div w:id="747725196">
          <w:marLeft w:val="0"/>
          <w:marRight w:val="0"/>
          <w:marTop w:val="0"/>
          <w:marBottom w:val="0"/>
          <w:divBdr>
            <w:top w:val="none" w:sz="0" w:space="0" w:color="auto"/>
            <w:left w:val="none" w:sz="0" w:space="0" w:color="auto"/>
            <w:bottom w:val="none" w:sz="0" w:space="0" w:color="auto"/>
            <w:right w:val="none" w:sz="0" w:space="0" w:color="auto"/>
          </w:divBdr>
        </w:div>
      </w:divsChild>
    </w:div>
    <w:div w:id="1420787363">
      <w:bodyDiv w:val="1"/>
      <w:marLeft w:val="0"/>
      <w:marRight w:val="0"/>
      <w:marTop w:val="0"/>
      <w:marBottom w:val="0"/>
      <w:divBdr>
        <w:top w:val="none" w:sz="0" w:space="0" w:color="auto"/>
        <w:left w:val="none" w:sz="0" w:space="0" w:color="auto"/>
        <w:bottom w:val="none" w:sz="0" w:space="0" w:color="auto"/>
        <w:right w:val="none" w:sz="0" w:space="0" w:color="auto"/>
      </w:divBdr>
    </w:div>
    <w:div w:id="1425224673">
      <w:bodyDiv w:val="1"/>
      <w:marLeft w:val="0"/>
      <w:marRight w:val="0"/>
      <w:marTop w:val="0"/>
      <w:marBottom w:val="0"/>
      <w:divBdr>
        <w:top w:val="none" w:sz="0" w:space="0" w:color="auto"/>
        <w:left w:val="none" w:sz="0" w:space="0" w:color="auto"/>
        <w:bottom w:val="none" w:sz="0" w:space="0" w:color="auto"/>
        <w:right w:val="none" w:sz="0" w:space="0" w:color="auto"/>
      </w:divBdr>
    </w:div>
    <w:div w:id="1436515392">
      <w:bodyDiv w:val="1"/>
      <w:marLeft w:val="0"/>
      <w:marRight w:val="0"/>
      <w:marTop w:val="0"/>
      <w:marBottom w:val="0"/>
      <w:divBdr>
        <w:top w:val="none" w:sz="0" w:space="0" w:color="auto"/>
        <w:left w:val="none" w:sz="0" w:space="0" w:color="auto"/>
        <w:bottom w:val="none" w:sz="0" w:space="0" w:color="auto"/>
        <w:right w:val="none" w:sz="0" w:space="0" w:color="auto"/>
      </w:divBdr>
    </w:div>
    <w:div w:id="1437169532">
      <w:bodyDiv w:val="1"/>
      <w:marLeft w:val="0"/>
      <w:marRight w:val="0"/>
      <w:marTop w:val="0"/>
      <w:marBottom w:val="0"/>
      <w:divBdr>
        <w:top w:val="none" w:sz="0" w:space="0" w:color="auto"/>
        <w:left w:val="none" w:sz="0" w:space="0" w:color="auto"/>
        <w:bottom w:val="none" w:sz="0" w:space="0" w:color="auto"/>
        <w:right w:val="none" w:sz="0" w:space="0" w:color="auto"/>
      </w:divBdr>
    </w:div>
    <w:div w:id="1441757526">
      <w:bodyDiv w:val="1"/>
      <w:marLeft w:val="0"/>
      <w:marRight w:val="0"/>
      <w:marTop w:val="0"/>
      <w:marBottom w:val="0"/>
      <w:divBdr>
        <w:top w:val="none" w:sz="0" w:space="0" w:color="auto"/>
        <w:left w:val="none" w:sz="0" w:space="0" w:color="auto"/>
        <w:bottom w:val="none" w:sz="0" w:space="0" w:color="auto"/>
        <w:right w:val="none" w:sz="0" w:space="0" w:color="auto"/>
      </w:divBdr>
    </w:div>
    <w:div w:id="1445812006">
      <w:marLeft w:val="0"/>
      <w:marRight w:val="0"/>
      <w:marTop w:val="0"/>
      <w:marBottom w:val="0"/>
      <w:divBdr>
        <w:top w:val="none" w:sz="0" w:space="0" w:color="auto"/>
        <w:left w:val="none" w:sz="0" w:space="0" w:color="auto"/>
        <w:bottom w:val="none" w:sz="0" w:space="0" w:color="auto"/>
        <w:right w:val="none" w:sz="0" w:space="0" w:color="auto"/>
      </w:divBdr>
    </w:div>
    <w:div w:id="1447194475">
      <w:bodyDiv w:val="1"/>
      <w:marLeft w:val="0"/>
      <w:marRight w:val="0"/>
      <w:marTop w:val="0"/>
      <w:marBottom w:val="0"/>
      <w:divBdr>
        <w:top w:val="none" w:sz="0" w:space="0" w:color="auto"/>
        <w:left w:val="none" w:sz="0" w:space="0" w:color="auto"/>
        <w:bottom w:val="none" w:sz="0" w:space="0" w:color="auto"/>
        <w:right w:val="none" w:sz="0" w:space="0" w:color="auto"/>
      </w:divBdr>
    </w:div>
    <w:div w:id="1456216107">
      <w:bodyDiv w:val="1"/>
      <w:marLeft w:val="0"/>
      <w:marRight w:val="0"/>
      <w:marTop w:val="0"/>
      <w:marBottom w:val="0"/>
      <w:divBdr>
        <w:top w:val="none" w:sz="0" w:space="0" w:color="auto"/>
        <w:left w:val="none" w:sz="0" w:space="0" w:color="auto"/>
        <w:bottom w:val="none" w:sz="0" w:space="0" w:color="auto"/>
        <w:right w:val="none" w:sz="0" w:space="0" w:color="auto"/>
      </w:divBdr>
    </w:div>
    <w:div w:id="1468859549">
      <w:marLeft w:val="0"/>
      <w:marRight w:val="0"/>
      <w:marTop w:val="0"/>
      <w:marBottom w:val="0"/>
      <w:divBdr>
        <w:top w:val="none" w:sz="0" w:space="0" w:color="auto"/>
        <w:left w:val="none" w:sz="0" w:space="0" w:color="auto"/>
        <w:bottom w:val="none" w:sz="0" w:space="0" w:color="auto"/>
        <w:right w:val="none" w:sz="0" w:space="0" w:color="auto"/>
      </w:divBdr>
      <w:divsChild>
        <w:div w:id="55981833">
          <w:marLeft w:val="0"/>
          <w:marRight w:val="0"/>
          <w:marTop w:val="0"/>
          <w:marBottom w:val="0"/>
          <w:divBdr>
            <w:top w:val="none" w:sz="0" w:space="0" w:color="auto"/>
            <w:left w:val="none" w:sz="0" w:space="0" w:color="auto"/>
            <w:bottom w:val="none" w:sz="0" w:space="0" w:color="auto"/>
            <w:right w:val="none" w:sz="0" w:space="0" w:color="auto"/>
          </w:divBdr>
          <w:divsChild>
            <w:div w:id="792091037">
              <w:marLeft w:val="0"/>
              <w:marRight w:val="0"/>
              <w:marTop w:val="0"/>
              <w:marBottom w:val="0"/>
              <w:divBdr>
                <w:top w:val="none" w:sz="0" w:space="0" w:color="auto"/>
                <w:left w:val="none" w:sz="0" w:space="0" w:color="auto"/>
                <w:bottom w:val="none" w:sz="0" w:space="0" w:color="auto"/>
                <w:right w:val="none" w:sz="0" w:space="0" w:color="auto"/>
              </w:divBdr>
            </w:div>
          </w:divsChild>
        </w:div>
        <w:div w:id="958679835">
          <w:marLeft w:val="0"/>
          <w:marRight w:val="0"/>
          <w:marTop w:val="0"/>
          <w:marBottom w:val="0"/>
          <w:divBdr>
            <w:top w:val="none" w:sz="0" w:space="0" w:color="auto"/>
            <w:left w:val="none" w:sz="0" w:space="0" w:color="auto"/>
            <w:bottom w:val="none" w:sz="0" w:space="0" w:color="auto"/>
            <w:right w:val="none" w:sz="0" w:space="0" w:color="auto"/>
          </w:divBdr>
          <w:divsChild>
            <w:div w:id="969870392">
              <w:marLeft w:val="0"/>
              <w:marRight w:val="0"/>
              <w:marTop w:val="0"/>
              <w:marBottom w:val="0"/>
              <w:divBdr>
                <w:top w:val="none" w:sz="0" w:space="0" w:color="auto"/>
                <w:left w:val="none" w:sz="0" w:space="0" w:color="auto"/>
                <w:bottom w:val="none" w:sz="0" w:space="0" w:color="auto"/>
                <w:right w:val="none" w:sz="0" w:space="0" w:color="auto"/>
              </w:divBdr>
              <w:divsChild>
                <w:div w:id="2057460427">
                  <w:marLeft w:val="0"/>
                  <w:marRight w:val="0"/>
                  <w:marTop w:val="0"/>
                  <w:marBottom w:val="0"/>
                  <w:divBdr>
                    <w:top w:val="none" w:sz="0" w:space="0" w:color="auto"/>
                    <w:left w:val="none" w:sz="0" w:space="0" w:color="auto"/>
                    <w:bottom w:val="none" w:sz="0" w:space="0" w:color="auto"/>
                    <w:right w:val="none" w:sz="0" w:space="0" w:color="auto"/>
                  </w:divBdr>
                  <w:divsChild>
                    <w:div w:id="8842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985845">
      <w:bodyDiv w:val="1"/>
      <w:marLeft w:val="0"/>
      <w:marRight w:val="0"/>
      <w:marTop w:val="0"/>
      <w:marBottom w:val="0"/>
      <w:divBdr>
        <w:top w:val="none" w:sz="0" w:space="0" w:color="auto"/>
        <w:left w:val="none" w:sz="0" w:space="0" w:color="auto"/>
        <w:bottom w:val="none" w:sz="0" w:space="0" w:color="auto"/>
        <w:right w:val="none" w:sz="0" w:space="0" w:color="auto"/>
      </w:divBdr>
      <w:divsChild>
        <w:div w:id="178198395">
          <w:marLeft w:val="0"/>
          <w:marRight w:val="0"/>
          <w:marTop w:val="0"/>
          <w:marBottom w:val="0"/>
          <w:divBdr>
            <w:top w:val="none" w:sz="0" w:space="0" w:color="auto"/>
            <w:left w:val="none" w:sz="0" w:space="0" w:color="auto"/>
            <w:bottom w:val="none" w:sz="0" w:space="0" w:color="auto"/>
            <w:right w:val="none" w:sz="0" w:space="0" w:color="auto"/>
          </w:divBdr>
          <w:divsChild>
            <w:div w:id="17644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33112">
      <w:bodyDiv w:val="1"/>
      <w:marLeft w:val="0"/>
      <w:marRight w:val="0"/>
      <w:marTop w:val="0"/>
      <w:marBottom w:val="0"/>
      <w:divBdr>
        <w:top w:val="none" w:sz="0" w:space="0" w:color="auto"/>
        <w:left w:val="none" w:sz="0" w:space="0" w:color="auto"/>
        <w:bottom w:val="none" w:sz="0" w:space="0" w:color="auto"/>
        <w:right w:val="none" w:sz="0" w:space="0" w:color="auto"/>
      </w:divBdr>
    </w:div>
    <w:div w:id="1495799058">
      <w:bodyDiv w:val="1"/>
      <w:marLeft w:val="0"/>
      <w:marRight w:val="0"/>
      <w:marTop w:val="0"/>
      <w:marBottom w:val="0"/>
      <w:divBdr>
        <w:top w:val="none" w:sz="0" w:space="0" w:color="auto"/>
        <w:left w:val="none" w:sz="0" w:space="0" w:color="auto"/>
        <w:bottom w:val="none" w:sz="0" w:space="0" w:color="auto"/>
        <w:right w:val="none" w:sz="0" w:space="0" w:color="auto"/>
      </w:divBdr>
      <w:divsChild>
        <w:div w:id="58596319">
          <w:marLeft w:val="0"/>
          <w:marRight w:val="0"/>
          <w:marTop w:val="0"/>
          <w:marBottom w:val="0"/>
          <w:divBdr>
            <w:top w:val="none" w:sz="0" w:space="0" w:color="auto"/>
            <w:left w:val="none" w:sz="0" w:space="0" w:color="auto"/>
            <w:bottom w:val="none" w:sz="0" w:space="0" w:color="auto"/>
            <w:right w:val="none" w:sz="0" w:space="0" w:color="auto"/>
          </w:divBdr>
          <w:divsChild>
            <w:div w:id="1066613364">
              <w:marLeft w:val="0"/>
              <w:marRight w:val="0"/>
              <w:marTop w:val="0"/>
              <w:marBottom w:val="0"/>
              <w:divBdr>
                <w:top w:val="none" w:sz="0" w:space="0" w:color="auto"/>
                <w:left w:val="none" w:sz="0" w:space="0" w:color="auto"/>
                <w:bottom w:val="none" w:sz="0" w:space="0" w:color="auto"/>
                <w:right w:val="none" w:sz="0" w:space="0" w:color="auto"/>
              </w:divBdr>
              <w:divsChild>
                <w:div w:id="2088917036">
                  <w:marLeft w:val="0"/>
                  <w:marRight w:val="0"/>
                  <w:marTop w:val="0"/>
                  <w:marBottom w:val="0"/>
                  <w:divBdr>
                    <w:top w:val="none" w:sz="0" w:space="0" w:color="auto"/>
                    <w:left w:val="none" w:sz="0" w:space="0" w:color="auto"/>
                    <w:bottom w:val="none" w:sz="0" w:space="0" w:color="auto"/>
                    <w:right w:val="none" w:sz="0" w:space="0" w:color="auto"/>
                  </w:divBdr>
                  <w:divsChild>
                    <w:div w:id="1595240719">
                      <w:marLeft w:val="-225"/>
                      <w:marRight w:val="-225"/>
                      <w:marTop w:val="0"/>
                      <w:marBottom w:val="0"/>
                      <w:divBdr>
                        <w:top w:val="none" w:sz="0" w:space="0" w:color="auto"/>
                        <w:left w:val="none" w:sz="0" w:space="0" w:color="auto"/>
                        <w:bottom w:val="none" w:sz="0" w:space="0" w:color="auto"/>
                        <w:right w:val="none" w:sz="0" w:space="0" w:color="auto"/>
                      </w:divBdr>
                      <w:divsChild>
                        <w:div w:id="734158744">
                          <w:marLeft w:val="0"/>
                          <w:marRight w:val="0"/>
                          <w:marTop w:val="0"/>
                          <w:marBottom w:val="0"/>
                          <w:divBdr>
                            <w:top w:val="none" w:sz="0" w:space="0" w:color="auto"/>
                            <w:left w:val="none" w:sz="0" w:space="0" w:color="auto"/>
                            <w:bottom w:val="none" w:sz="0" w:space="0" w:color="auto"/>
                            <w:right w:val="none" w:sz="0" w:space="0" w:color="auto"/>
                          </w:divBdr>
                          <w:divsChild>
                            <w:div w:id="1010571207">
                              <w:marLeft w:val="0"/>
                              <w:marRight w:val="0"/>
                              <w:marTop w:val="0"/>
                              <w:marBottom w:val="0"/>
                              <w:divBdr>
                                <w:top w:val="none" w:sz="0" w:space="0" w:color="auto"/>
                                <w:left w:val="none" w:sz="0" w:space="0" w:color="auto"/>
                                <w:bottom w:val="none" w:sz="0" w:space="0" w:color="auto"/>
                                <w:right w:val="none" w:sz="0" w:space="0" w:color="auto"/>
                              </w:divBdr>
                              <w:divsChild>
                                <w:div w:id="209194690">
                                  <w:marLeft w:val="0"/>
                                  <w:marRight w:val="0"/>
                                  <w:marTop w:val="0"/>
                                  <w:marBottom w:val="0"/>
                                  <w:divBdr>
                                    <w:top w:val="none" w:sz="0" w:space="0" w:color="auto"/>
                                    <w:left w:val="none" w:sz="0" w:space="0" w:color="auto"/>
                                    <w:bottom w:val="none" w:sz="0" w:space="0" w:color="auto"/>
                                    <w:right w:val="none" w:sz="0" w:space="0" w:color="auto"/>
                                  </w:divBdr>
                                  <w:divsChild>
                                    <w:div w:id="976958992">
                                      <w:marLeft w:val="0"/>
                                      <w:marRight w:val="0"/>
                                      <w:marTop w:val="0"/>
                                      <w:marBottom w:val="0"/>
                                      <w:divBdr>
                                        <w:top w:val="none" w:sz="0" w:space="0" w:color="auto"/>
                                        <w:left w:val="none" w:sz="0" w:space="0" w:color="auto"/>
                                        <w:bottom w:val="none" w:sz="0" w:space="0" w:color="auto"/>
                                        <w:right w:val="none" w:sz="0" w:space="0" w:color="auto"/>
                                      </w:divBdr>
                                      <w:divsChild>
                                        <w:div w:id="1915041237">
                                          <w:marLeft w:val="0"/>
                                          <w:marRight w:val="0"/>
                                          <w:marTop w:val="0"/>
                                          <w:marBottom w:val="0"/>
                                          <w:divBdr>
                                            <w:top w:val="none" w:sz="0" w:space="0" w:color="auto"/>
                                            <w:left w:val="none" w:sz="0" w:space="0" w:color="auto"/>
                                            <w:bottom w:val="none" w:sz="0" w:space="0" w:color="auto"/>
                                            <w:right w:val="none" w:sz="0" w:space="0" w:color="auto"/>
                                          </w:divBdr>
                                          <w:divsChild>
                                            <w:div w:id="1544248883">
                                              <w:marLeft w:val="0"/>
                                              <w:marRight w:val="0"/>
                                              <w:marTop w:val="0"/>
                                              <w:marBottom w:val="0"/>
                                              <w:divBdr>
                                                <w:top w:val="none" w:sz="0" w:space="0" w:color="auto"/>
                                                <w:left w:val="none" w:sz="0" w:space="0" w:color="auto"/>
                                                <w:bottom w:val="none" w:sz="0" w:space="0" w:color="auto"/>
                                                <w:right w:val="none" w:sz="0" w:space="0" w:color="auto"/>
                                              </w:divBdr>
                                              <w:divsChild>
                                                <w:div w:id="1211184344">
                                                  <w:marLeft w:val="0"/>
                                                  <w:marRight w:val="0"/>
                                                  <w:marTop w:val="0"/>
                                                  <w:marBottom w:val="0"/>
                                                  <w:divBdr>
                                                    <w:top w:val="none" w:sz="0" w:space="0" w:color="auto"/>
                                                    <w:left w:val="none" w:sz="0" w:space="0" w:color="auto"/>
                                                    <w:bottom w:val="none" w:sz="0" w:space="0" w:color="auto"/>
                                                    <w:right w:val="none" w:sz="0" w:space="0" w:color="auto"/>
                                                  </w:divBdr>
                                                  <w:divsChild>
                                                    <w:div w:id="1602643824">
                                                      <w:marLeft w:val="0"/>
                                                      <w:marRight w:val="0"/>
                                                      <w:marTop w:val="0"/>
                                                      <w:marBottom w:val="0"/>
                                                      <w:divBdr>
                                                        <w:top w:val="none" w:sz="0" w:space="0" w:color="auto"/>
                                                        <w:left w:val="none" w:sz="0" w:space="0" w:color="auto"/>
                                                        <w:bottom w:val="none" w:sz="0" w:space="0" w:color="auto"/>
                                                        <w:right w:val="none" w:sz="0" w:space="0" w:color="auto"/>
                                                      </w:divBdr>
                                                      <w:divsChild>
                                                        <w:div w:id="2044019365">
                                                          <w:marLeft w:val="0"/>
                                                          <w:marRight w:val="0"/>
                                                          <w:marTop w:val="0"/>
                                                          <w:marBottom w:val="0"/>
                                                          <w:divBdr>
                                                            <w:top w:val="none" w:sz="0" w:space="0" w:color="auto"/>
                                                            <w:left w:val="none" w:sz="0" w:space="0" w:color="auto"/>
                                                            <w:bottom w:val="none" w:sz="0" w:space="0" w:color="auto"/>
                                                            <w:right w:val="none" w:sz="0" w:space="0" w:color="auto"/>
                                                          </w:divBdr>
                                                          <w:divsChild>
                                                            <w:div w:id="855650824">
                                                              <w:marLeft w:val="0"/>
                                                              <w:marRight w:val="0"/>
                                                              <w:marTop w:val="0"/>
                                                              <w:marBottom w:val="0"/>
                                                              <w:divBdr>
                                                                <w:top w:val="none" w:sz="0" w:space="0" w:color="auto"/>
                                                                <w:left w:val="none" w:sz="0" w:space="0" w:color="auto"/>
                                                                <w:bottom w:val="none" w:sz="0" w:space="0" w:color="auto"/>
                                                                <w:right w:val="none" w:sz="0" w:space="0" w:color="auto"/>
                                                              </w:divBdr>
                                                              <w:divsChild>
                                                                <w:div w:id="7990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0196950">
      <w:bodyDiv w:val="1"/>
      <w:marLeft w:val="0"/>
      <w:marRight w:val="0"/>
      <w:marTop w:val="0"/>
      <w:marBottom w:val="0"/>
      <w:divBdr>
        <w:top w:val="none" w:sz="0" w:space="0" w:color="auto"/>
        <w:left w:val="none" w:sz="0" w:space="0" w:color="auto"/>
        <w:bottom w:val="none" w:sz="0" w:space="0" w:color="auto"/>
        <w:right w:val="none" w:sz="0" w:space="0" w:color="auto"/>
      </w:divBdr>
    </w:div>
    <w:div w:id="1500392055">
      <w:bodyDiv w:val="1"/>
      <w:marLeft w:val="0"/>
      <w:marRight w:val="0"/>
      <w:marTop w:val="0"/>
      <w:marBottom w:val="0"/>
      <w:divBdr>
        <w:top w:val="none" w:sz="0" w:space="0" w:color="auto"/>
        <w:left w:val="none" w:sz="0" w:space="0" w:color="auto"/>
        <w:bottom w:val="none" w:sz="0" w:space="0" w:color="auto"/>
        <w:right w:val="none" w:sz="0" w:space="0" w:color="auto"/>
      </w:divBdr>
    </w:div>
    <w:div w:id="1514487946">
      <w:bodyDiv w:val="1"/>
      <w:marLeft w:val="0"/>
      <w:marRight w:val="0"/>
      <w:marTop w:val="0"/>
      <w:marBottom w:val="0"/>
      <w:divBdr>
        <w:top w:val="none" w:sz="0" w:space="0" w:color="auto"/>
        <w:left w:val="none" w:sz="0" w:space="0" w:color="auto"/>
        <w:bottom w:val="none" w:sz="0" w:space="0" w:color="auto"/>
        <w:right w:val="none" w:sz="0" w:space="0" w:color="auto"/>
      </w:divBdr>
    </w:div>
    <w:div w:id="1515456468">
      <w:bodyDiv w:val="1"/>
      <w:marLeft w:val="0"/>
      <w:marRight w:val="0"/>
      <w:marTop w:val="0"/>
      <w:marBottom w:val="0"/>
      <w:divBdr>
        <w:top w:val="none" w:sz="0" w:space="0" w:color="auto"/>
        <w:left w:val="none" w:sz="0" w:space="0" w:color="auto"/>
        <w:bottom w:val="none" w:sz="0" w:space="0" w:color="auto"/>
        <w:right w:val="none" w:sz="0" w:space="0" w:color="auto"/>
      </w:divBdr>
      <w:divsChild>
        <w:div w:id="183978025">
          <w:marLeft w:val="0"/>
          <w:marRight w:val="0"/>
          <w:marTop w:val="600"/>
          <w:marBottom w:val="0"/>
          <w:divBdr>
            <w:top w:val="none" w:sz="0" w:space="0" w:color="auto"/>
            <w:left w:val="none" w:sz="0" w:space="0" w:color="auto"/>
            <w:bottom w:val="none" w:sz="0" w:space="0" w:color="auto"/>
            <w:right w:val="none" w:sz="0" w:space="0" w:color="auto"/>
          </w:divBdr>
        </w:div>
      </w:divsChild>
    </w:div>
    <w:div w:id="1525248545">
      <w:bodyDiv w:val="1"/>
      <w:marLeft w:val="0"/>
      <w:marRight w:val="0"/>
      <w:marTop w:val="0"/>
      <w:marBottom w:val="0"/>
      <w:divBdr>
        <w:top w:val="none" w:sz="0" w:space="0" w:color="auto"/>
        <w:left w:val="none" w:sz="0" w:space="0" w:color="auto"/>
        <w:bottom w:val="none" w:sz="0" w:space="0" w:color="auto"/>
        <w:right w:val="none" w:sz="0" w:space="0" w:color="auto"/>
      </w:divBdr>
    </w:div>
    <w:div w:id="1526168613">
      <w:bodyDiv w:val="1"/>
      <w:marLeft w:val="0"/>
      <w:marRight w:val="0"/>
      <w:marTop w:val="0"/>
      <w:marBottom w:val="0"/>
      <w:divBdr>
        <w:top w:val="none" w:sz="0" w:space="0" w:color="auto"/>
        <w:left w:val="none" w:sz="0" w:space="0" w:color="auto"/>
        <w:bottom w:val="none" w:sz="0" w:space="0" w:color="auto"/>
        <w:right w:val="none" w:sz="0" w:space="0" w:color="auto"/>
      </w:divBdr>
    </w:div>
    <w:div w:id="1533154663">
      <w:bodyDiv w:val="1"/>
      <w:marLeft w:val="0"/>
      <w:marRight w:val="0"/>
      <w:marTop w:val="0"/>
      <w:marBottom w:val="0"/>
      <w:divBdr>
        <w:top w:val="none" w:sz="0" w:space="0" w:color="auto"/>
        <w:left w:val="none" w:sz="0" w:space="0" w:color="auto"/>
        <w:bottom w:val="none" w:sz="0" w:space="0" w:color="auto"/>
        <w:right w:val="none" w:sz="0" w:space="0" w:color="auto"/>
      </w:divBdr>
    </w:div>
    <w:div w:id="1534150163">
      <w:bodyDiv w:val="1"/>
      <w:marLeft w:val="0"/>
      <w:marRight w:val="0"/>
      <w:marTop w:val="0"/>
      <w:marBottom w:val="0"/>
      <w:divBdr>
        <w:top w:val="none" w:sz="0" w:space="0" w:color="auto"/>
        <w:left w:val="none" w:sz="0" w:space="0" w:color="auto"/>
        <w:bottom w:val="none" w:sz="0" w:space="0" w:color="auto"/>
        <w:right w:val="none" w:sz="0" w:space="0" w:color="auto"/>
      </w:divBdr>
    </w:div>
    <w:div w:id="1539972555">
      <w:bodyDiv w:val="1"/>
      <w:marLeft w:val="0"/>
      <w:marRight w:val="0"/>
      <w:marTop w:val="0"/>
      <w:marBottom w:val="0"/>
      <w:divBdr>
        <w:top w:val="none" w:sz="0" w:space="0" w:color="auto"/>
        <w:left w:val="none" w:sz="0" w:space="0" w:color="auto"/>
        <w:bottom w:val="none" w:sz="0" w:space="0" w:color="auto"/>
        <w:right w:val="none" w:sz="0" w:space="0" w:color="auto"/>
      </w:divBdr>
    </w:div>
    <w:div w:id="1558587435">
      <w:bodyDiv w:val="1"/>
      <w:marLeft w:val="0"/>
      <w:marRight w:val="0"/>
      <w:marTop w:val="0"/>
      <w:marBottom w:val="0"/>
      <w:divBdr>
        <w:top w:val="none" w:sz="0" w:space="0" w:color="auto"/>
        <w:left w:val="none" w:sz="0" w:space="0" w:color="auto"/>
        <w:bottom w:val="none" w:sz="0" w:space="0" w:color="auto"/>
        <w:right w:val="none" w:sz="0" w:space="0" w:color="auto"/>
      </w:divBdr>
    </w:div>
    <w:div w:id="1558786340">
      <w:bodyDiv w:val="1"/>
      <w:marLeft w:val="0"/>
      <w:marRight w:val="0"/>
      <w:marTop w:val="0"/>
      <w:marBottom w:val="0"/>
      <w:divBdr>
        <w:top w:val="none" w:sz="0" w:space="0" w:color="auto"/>
        <w:left w:val="none" w:sz="0" w:space="0" w:color="auto"/>
        <w:bottom w:val="none" w:sz="0" w:space="0" w:color="auto"/>
        <w:right w:val="none" w:sz="0" w:space="0" w:color="auto"/>
      </w:divBdr>
    </w:div>
    <w:div w:id="1561087403">
      <w:bodyDiv w:val="1"/>
      <w:marLeft w:val="0"/>
      <w:marRight w:val="0"/>
      <w:marTop w:val="0"/>
      <w:marBottom w:val="0"/>
      <w:divBdr>
        <w:top w:val="none" w:sz="0" w:space="0" w:color="auto"/>
        <w:left w:val="none" w:sz="0" w:space="0" w:color="auto"/>
        <w:bottom w:val="none" w:sz="0" w:space="0" w:color="auto"/>
        <w:right w:val="none" w:sz="0" w:space="0" w:color="auto"/>
      </w:divBdr>
    </w:div>
    <w:div w:id="1563055593">
      <w:bodyDiv w:val="1"/>
      <w:marLeft w:val="0"/>
      <w:marRight w:val="0"/>
      <w:marTop w:val="0"/>
      <w:marBottom w:val="0"/>
      <w:divBdr>
        <w:top w:val="none" w:sz="0" w:space="0" w:color="auto"/>
        <w:left w:val="none" w:sz="0" w:space="0" w:color="auto"/>
        <w:bottom w:val="none" w:sz="0" w:space="0" w:color="auto"/>
        <w:right w:val="none" w:sz="0" w:space="0" w:color="auto"/>
      </w:divBdr>
      <w:divsChild>
        <w:div w:id="447241942">
          <w:marLeft w:val="0"/>
          <w:marRight w:val="0"/>
          <w:marTop w:val="0"/>
          <w:marBottom w:val="0"/>
          <w:divBdr>
            <w:top w:val="none" w:sz="0" w:space="0" w:color="auto"/>
            <w:left w:val="none" w:sz="0" w:space="0" w:color="auto"/>
            <w:bottom w:val="none" w:sz="0" w:space="0" w:color="auto"/>
            <w:right w:val="none" w:sz="0" w:space="0" w:color="auto"/>
          </w:divBdr>
          <w:divsChild>
            <w:div w:id="9077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28284">
      <w:bodyDiv w:val="1"/>
      <w:marLeft w:val="0"/>
      <w:marRight w:val="0"/>
      <w:marTop w:val="0"/>
      <w:marBottom w:val="0"/>
      <w:divBdr>
        <w:top w:val="none" w:sz="0" w:space="0" w:color="auto"/>
        <w:left w:val="none" w:sz="0" w:space="0" w:color="auto"/>
        <w:bottom w:val="none" w:sz="0" w:space="0" w:color="auto"/>
        <w:right w:val="none" w:sz="0" w:space="0" w:color="auto"/>
      </w:divBdr>
    </w:div>
    <w:div w:id="1566792984">
      <w:bodyDiv w:val="1"/>
      <w:marLeft w:val="0"/>
      <w:marRight w:val="0"/>
      <w:marTop w:val="0"/>
      <w:marBottom w:val="0"/>
      <w:divBdr>
        <w:top w:val="none" w:sz="0" w:space="0" w:color="auto"/>
        <w:left w:val="none" w:sz="0" w:space="0" w:color="auto"/>
        <w:bottom w:val="none" w:sz="0" w:space="0" w:color="auto"/>
        <w:right w:val="none" w:sz="0" w:space="0" w:color="auto"/>
      </w:divBdr>
    </w:div>
    <w:div w:id="1567180175">
      <w:bodyDiv w:val="1"/>
      <w:marLeft w:val="0"/>
      <w:marRight w:val="0"/>
      <w:marTop w:val="0"/>
      <w:marBottom w:val="0"/>
      <w:divBdr>
        <w:top w:val="none" w:sz="0" w:space="0" w:color="auto"/>
        <w:left w:val="none" w:sz="0" w:space="0" w:color="auto"/>
        <w:bottom w:val="none" w:sz="0" w:space="0" w:color="auto"/>
        <w:right w:val="none" w:sz="0" w:space="0" w:color="auto"/>
      </w:divBdr>
      <w:divsChild>
        <w:div w:id="1484279099">
          <w:marLeft w:val="0"/>
          <w:marRight w:val="0"/>
          <w:marTop w:val="0"/>
          <w:marBottom w:val="0"/>
          <w:divBdr>
            <w:top w:val="none" w:sz="0" w:space="0" w:color="auto"/>
            <w:left w:val="none" w:sz="0" w:space="0" w:color="auto"/>
            <w:bottom w:val="none" w:sz="0" w:space="0" w:color="auto"/>
            <w:right w:val="none" w:sz="0" w:space="0" w:color="auto"/>
          </w:divBdr>
        </w:div>
      </w:divsChild>
    </w:div>
    <w:div w:id="1567640113">
      <w:bodyDiv w:val="1"/>
      <w:marLeft w:val="0"/>
      <w:marRight w:val="0"/>
      <w:marTop w:val="0"/>
      <w:marBottom w:val="0"/>
      <w:divBdr>
        <w:top w:val="none" w:sz="0" w:space="0" w:color="auto"/>
        <w:left w:val="none" w:sz="0" w:space="0" w:color="auto"/>
        <w:bottom w:val="none" w:sz="0" w:space="0" w:color="auto"/>
        <w:right w:val="none" w:sz="0" w:space="0" w:color="auto"/>
      </w:divBdr>
      <w:divsChild>
        <w:div w:id="2139835950">
          <w:marLeft w:val="0"/>
          <w:marRight w:val="0"/>
          <w:marTop w:val="0"/>
          <w:marBottom w:val="0"/>
          <w:divBdr>
            <w:top w:val="none" w:sz="0" w:space="0" w:color="auto"/>
            <w:left w:val="none" w:sz="0" w:space="0" w:color="auto"/>
            <w:bottom w:val="none" w:sz="0" w:space="0" w:color="auto"/>
            <w:right w:val="none" w:sz="0" w:space="0" w:color="auto"/>
          </w:divBdr>
          <w:divsChild>
            <w:div w:id="20480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85361">
      <w:bodyDiv w:val="1"/>
      <w:marLeft w:val="0"/>
      <w:marRight w:val="0"/>
      <w:marTop w:val="0"/>
      <w:marBottom w:val="0"/>
      <w:divBdr>
        <w:top w:val="none" w:sz="0" w:space="0" w:color="auto"/>
        <w:left w:val="none" w:sz="0" w:space="0" w:color="auto"/>
        <w:bottom w:val="none" w:sz="0" w:space="0" w:color="auto"/>
        <w:right w:val="none" w:sz="0" w:space="0" w:color="auto"/>
      </w:divBdr>
    </w:div>
    <w:div w:id="1581600193">
      <w:bodyDiv w:val="1"/>
      <w:marLeft w:val="0"/>
      <w:marRight w:val="0"/>
      <w:marTop w:val="0"/>
      <w:marBottom w:val="0"/>
      <w:divBdr>
        <w:top w:val="none" w:sz="0" w:space="0" w:color="auto"/>
        <w:left w:val="none" w:sz="0" w:space="0" w:color="auto"/>
        <w:bottom w:val="none" w:sz="0" w:space="0" w:color="auto"/>
        <w:right w:val="none" w:sz="0" w:space="0" w:color="auto"/>
      </w:divBdr>
    </w:div>
    <w:div w:id="1589079206">
      <w:bodyDiv w:val="1"/>
      <w:marLeft w:val="0"/>
      <w:marRight w:val="0"/>
      <w:marTop w:val="0"/>
      <w:marBottom w:val="0"/>
      <w:divBdr>
        <w:top w:val="none" w:sz="0" w:space="0" w:color="auto"/>
        <w:left w:val="none" w:sz="0" w:space="0" w:color="auto"/>
        <w:bottom w:val="none" w:sz="0" w:space="0" w:color="auto"/>
        <w:right w:val="none" w:sz="0" w:space="0" w:color="auto"/>
      </w:divBdr>
      <w:divsChild>
        <w:div w:id="1531139394">
          <w:marLeft w:val="0"/>
          <w:marRight w:val="0"/>
          <w:marTop w:val="0"/>
          <w:marBottom w:val="225"/>
          <w:divBdr>
            <w:top w:val="none" w:sz="0" w:space="0" w:color="auto"/>
            <w:left w:val="none" w:sz="0" w:space="0" w:color="auto"/>
            <w:bottom w:val="none" w:sz="0" w:space="0" w:color="auto"/>
            <w:right w:val="none" w:sz="0" w:space="0" w:color="auto"/>
          </w:divBdr>
        </w:div>
      </w:divsChild>
    </w:div>
    <w:div w:id="1595899345">
      <w:bodyDiv w:val="1"/>
      <w:marLeft w:val="0"/>
      <w:marRight w:val="0"/>
      <w:marTop w:val="0"/>
      <w:marBottom w:val="0"/>
      <w:divBdr>
        <w:top w:val="none" w:sz="0" w:space="0" w:color="auto"/>
        <w:left w:val="none" w:sz="0" w:space="0" w:color="auto"/>
        <w:bottom w:val="none" w:sz="0" w:space="0" w:color="auto"/>
        <w:right w:val="none" w:sz="0" w:space="0" w:color="auto"/>
      </w:divBdr>
    </w:div>
    <w:div w:id="1601521597">
      <w:bodyDiv w:val="1"/>
      <w:marLeft w:val="0"/>
      <w:marRight w:val="0"/>
      <w:marTop w:val="0"/>
      <w:marBottom w:val="0"/>
      <w:divBdr>
        <w:top w:val="none" w:sz="0" w:space="0" w:color="auto"/>
        <w:left w:val="none" w:sz="0" w:space="0" w:color="auto"/>
        <w:bottom w:val="none" w:sz="0" w:space="0" w:color="auto"/>
        <w:right w:val="none" w:sz="0" w:space="0" w:color="auto"/>
      </w:divBdr>
    </w:div>
    <w:div w:id="1621574152">
      <w:bodyDiv w:val="1"/>
      <w:marLeft w:val="0"/>
      <w:marRight w:val="0"/>
      <w:marTop w:val="0"/>
      <w:marBottom w:val="0"/>
      <w:divBdr>
        <w:top w:val="none" w:sz="0" w:space="0" w:color="auto"/>
        <w:left w:val="none" w:sz="0" w:space="0" w:color="auto"/>
        <w:bottom w:val="none" w:sz="0" w:space="0" w:color="auto"/>
        <w:right w:val="none" w:sz="0" w:space="0" w:color="auto"/>
      </w:divBdr>
    </w:div>
    <w:div w:id="1623538708">
      <w:bodyDiv w:val="1"/>
      <w:marLeft w:val="0"/>
      <w:marRight w:val="0"/>
      <w:marTop w:val="0"/>
      <w:marBottom w:val="0"/>
      <w:divBdr>
        <w:top w:val="none" w:sz="0" w:space="0" w:color="auto"/>
        <w:left w:val="none" w:sz="0" w:space="0" w:color="auto"/>
        <w:bottom w:val="none" w:sz="0" w:space="0" w:color="auto"/>
        <w:right w:val="none" w:sz="0" w:space="0" w:color="auto"/>
      </w:divBdr>
      <w:divsChild>
        <w:div w:id="1091468759">
          <w:marLeft w:val="0"/>
          <w:marRight w:val="0"/>
          <w:marTop w:val="0"/>
          <w:marBottom w:val="0"/>
          <w:divBdr>
            <w:top w:val="none" w:sz="0" w:space="0" w:color="auto"/>
            <w:left w:val="none" w:sz="0" w:space="0" w:color="auto"/>
            <w:bottom w:val="none" w:sz="0" w:space="0" w:color="auto"/>
            <w:right w:val="none" w:sz="0" w:space="0" w:color="auto"/>
          </w:divBdr>
          <w:divsChild>
            <w:div w:id="344137922">
              <w:marLeft w:val="-225"/>
              <w:marRight w:val="-225"/>
              <w:marTop w:val="0"/>
              <w:marBottom w:val="0"/>
              <w:divBdr>
                <w:top w:val="none" w:sz="0" w:space="0" w:color="auto"/>
                <w:left w:val="none" w:sz="0" w:space="0" w:color="auto"/>
                <w:bottom w:val="none" w:sz="0" w:space="0" w:color="auto"/>
                <w:right w:val="none" w:sz="0" w:space="0" w:color="auto"/>
              </w:divBdr>
              <w:divsChild>
                <w:div w:id="1715495500">
                  <w:marLeft w:val="0"/>
                  <w:marRight w:val="0"/>
                  <w:marTop w:val="0"/>
                  <w:marBottom w:val="0"/>
                  <w:divBdr>
                    <w:top w:val="none" w:sz="0" w:space="0" w:color="auto"/>
                    <w:left w:val="none" w:sz="0" w:space="0" w:color="auto"/>
                    <w:bottom w:val="none" w:sz="0" w:space="0" w:color="auto"/>
                    <w:right w:val="none" w:sz="0" w:space="0" w:color="auto"/>
                  </w:divBdr>
                  <w:divsChild>
                    <w:div w:id="3999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57219">
      <w:bodyDiv w:val="1"/>
      <w:marLeft w:val="0"/>
      <w:marRight w:val="0"/>
      <w:marTop w:val="0"/>
      <w:marBottom w:val="0"/>
      <w:divBdr>
        <w:top w:val="none" w:sz="0" w:space="0" w:color="auto"/>
        <w:left w:val="none" w:sz="0" w:space="0" w:color="auto"/>
        <w:bottom w:val="none" w:sz="0" w:space="0" w:color="auto"/>
        <w:right w:val="none" w:sz="0" w:space="0" w:color="auto"/>
      </w:divBdr>
    </w:div>
    <w:div w:id="1636138377">
      <w:bodyDiv w:val="1"/>
      <w:marLeft w:val="0"/>
      <w:marRight w:val="0"/>
      <w:marTop w:val="0"/>
      <w:marBottom w:val="0"/>
      <w:divBdr>
        <w:top w:val="none" w:sz="0" w:space="0" w:color="auto"/>
        <w:left w:val="none" w:sz="0" w:space="0" w:color="auto"/>
        <w:bottom w:val="none" w:sz="0" w:space="0" w:color="auto"/>
        <w:right w:val="none" w:sz="0" w:space="0" w:color="auto"/>
      </w:divBdr>
    </w:div>
    <w:div w:id="1653869370">
      <w:bodyDiv w:val="1"/>
      <w:marLeft w:val="0"/>
      <w:marRight w:val="0"/>
      <w:marTop w:val="0"/>
      <w:marBottom w:val="0"/>
      <w:divBdr>
        <w:top w:val="none" w:sz="0" w:space="0" w:color="auto"/>
        <w:left w:val="none" w:sz="0" w:space="0" w:color="auto"/>
        <w:bottom w:val="none" w:sz="0" w:space="0" w:color="auto"/>
        <w:right w:val="none" w:sz="0" w:space="0" w:color="auto"/>
      </w:divBdr>
    </w:div>
    <w:div w:id="1655376731">
      <w:bodyDiv w:val="1"/>
      <w:marLeft w:val="0"/>
      <w:marRight w:val="0"/>
      <w:marTop w:val="0"/>
      <w:marBottom w:val="0"/>
      <w:divBdr>
        <w:top w:val="none" w:sz="0" w:space="0" w:color="auto"/>
        <w:left w:val="none" w:sz="0" w:space="0" w:color="auto"/>
        <w:bottom w:val="none" w:sz="0" w:space="0" w:color="auto"/>
        <w:right w:val="none" w:sz="0" w:space="0" w:color="auto"/>
      </w:divBdr>
    </w:div>
    <w:div w:id="1674214939">
      <w:bodyDiv w:val="1"/>
      <w:marLeft w:val="0"/>
      <w:marRight w:val="0"/>
      <w:marTop w:val="0"/>
      <w:marBottom w:val="0"/>
      <w:divBdr>
        <w:top w:val="none" w:sz="0" w:space="0" w:color="auto"/>
        <w:left w:val="none" w:sz="0" w:space="0" w:color="auto"/>
        <w:bottom w:val="none" w:sz="0" w:space="0" w:color="auto"/>
        <w:right w:val="none" w:sz="0" w:space="0" w:color="auto"/>
      </w:divBdr>
    </w:div>
    <w:div w:id="1680038792">
      <w:bodyDiv w:val="1"/>
      <w:marLeft w:val="0"/>
      <w:marRight w:val="0"/>
      <w:marTop w:val="0"/>
      <w:marBottom w:val="0"/>
      <w:divBdr>
        <w:top w:val="none" w:sz="0" w:space="0" w:color="auto"/>
        <w:left w:val="none" w:sz="0" w:space="0" w:color="auto"/>
        <w:bottom w:val="none" w:sz="0" w:space="0" w:color="auto"/>
        <w:right w:val="none" w:sz="0" w:space="0" w:color="auto"/>
      </w:divBdr>
      <w:divsChild>
        <w:div w:id="263196148">
          <w:marLeft w:val="0"/>
          <w:marRight w:val="0"/>
          <w:marTop w:val="0"/>
          <w:marBottom w:val="0"/>
          <w:divBdr>
            <w:top w:val="none" w:sz="0" w:space="0" w:color="auto"/>
            <w:left w:val="none" w:sz="0" w:space="0" w:color="auto"/>
            <w:bottom w:val="none" w:sz="0" w:space="0" w:color="auto"/>
            <w:right w:val="none" w:sz="0" w:space="0" w:color="auto"/>
          </w:divBdr>
          <w:divsChild>
            <w:div w:id="1583560445">
              <w:marLeft w:val="0"/>
              <w:marRight w:val="0"/>
              <w:marTop w:val="100"/>
              <w:marBottom w:val="100"/>
              <w:divBdr>
                <w:top w:val="none" w:sz="0" w:space="0" w:color="auto"/>
                <w:left w:val="none" w:sz="0" w:space="0" w:color="auto"/>
                <w:bottom w:val="none" w:sz="0" w:space="0" w:color="auto"/>
                <w:right w:val="none" w:sz="0" w:space="0" w:color="auto"/>
              </w:divBdr>
              <w:divsChild>
                <w:div w:id="2006591400">
                  <w:marLeft w:val="0"/>
                  <w:marRight w:val="0"/>
                  <w:marTop w:val="0"/>
                  <w:marBottom w:val="0"/>
                  <w:divBdr>
                    <w:top w:val="none" w:sz="0" w:space="0" w:color="auto"/>
                    <w:left w:val="none" w:sz="0" w:space="0" w:color="auto"/>
                    <w:bottom w:val="none" w:sz="0" w:space="0" w:color="auto"/>
                    <w:right w:val="none" w:sz="0" w:space="0" w:color="auto"/>
                  </w:divBdr>
                  <w:divsChild>
                    <w:div w:id="2123187091">
                      <w:marLeft w:val="0"/>
                      <w:marRight w:val="0"/>
                      <w:marTop w:val="300"/>
                      <w:marBottom w:val="0"/>
                      <w:divBdr>
                        <w:top w:val="none" w:sz="0" w:space="0" w:color="auto"/>
                        <w:left w:val="none" w:sz="0" w:space="0" w:color="auto"/>
                        <w:bottom w:val="none" w:sz="0" w:space="0" w:color="auto"/>
                        <w:right w:val="none" w:sz="0" w:space="0" w:color="auto"/>
                      </w:divBdr>
                      <w:divsChild>
                        <w:div w:id="989869470">
                          <w:marLeft w:val="0"/>
                          <w:marRight w:val="0"/>
                          <w:marTop w:val="0"/>
                          <w:marBottom w:val="0"/>
                          <w:divBdr>
                            <w:top w:val="none" w:sz="0" w:space="0" w:color="auto"/>
                            <w:left w:val="none" w:sz="0" w:space="0" w:color="auto"/>
                            <w:bottom w:val="none" w:sz="0" w:space="0" w:color="auto"/>
                            <w:right w:val="none" w:sz="0" w:space="0" w:color="auto"/>
                          </w:divBdr>
                          <w:divsChild>
                            <w:div w:id="1219709115">
                              <w:marLeft w:val="0"/>
                              <w:marRight w:val="0"/>
                              <w:marTop w:val="0"/>
                              <w:marBottom w:val="0"/>
                              <w:divBdr>
                                <w:top w:val="none" w:sz="0" w:space="0" w:color="auto"/>
                                <w:left w:val="none" w:sz="0" w:space="0" w:color="auto"/>
                                <w:bottom w:val="none" w:sz="0" w:space="0" w:color="auto"/>
                                <w:right w:val="none" w:sz="0" w:space="0" w:color="auto"/>
                              </w:divBdr>
                              <w:divsChild>
                                <w:div w:id="1361974385">
                                  <w:marLeft w:val="0"/>
                                  <w:marRight w:val="0"/>
                                  <w:marTop w:val="0"/>
                                  <w:marBottom w:val="0"/>
                                  <w:divBdr>
                                    <w:top w:val="none" w:sz="0" w:space="0" w:color="auto"/>
                                    <w:left w:val="none" w:sz="0" w:space="0" w:color="auto"/>
                                    <w:bottom w:val="none" w:sz="0" w:space="0" w:color="auto"/>
                                    <w:right w:val="none" w:sz="0" w:space="0" w:color="auto"/>
                                  </w:divBdr>
                                  <w:divsChild>
                                    <w:div w:id="2141721894">
                                      <w:marLeft w:val="0"/>
                                      <w:marRight w:val="0"/>
                                      <w:marTop w:val="0"/>
                                      <w:marBottom w:val="0"/>
                                      <w:divBdr>
                                        <w:top w:val="none" w:sz="0" w:space="0" w:color="auto"/>
                                        <w:left w:val="none" w:sz="0" w:space="0" w:color="auto"/>
                                        <w:bottom w:val="none" w:sz="0" w:space="0" w:color="auto"/>
                                        <w:right w:val="none" w:sz="0" w:space="0" w:color="auto"/>
                                      </w:divBdr>
                                      <w:divsChild>
                                        <w:div w:id="792485858">
                                          <w:marLeft w:val="0"/>
                                          <w:marRight w:val="0"/>
                                          <w:marTop w:val="0"/>
                                          <w:marBottom w:val="0"/>
                                          <w:divBdr>
                                            <w:top w:val="none" w:sz="0" w:space="0" w:color="auto"/>
                                            <w:left w:val="none" w:sz="0" w:space="0" w:color="auto"/>
                                            <w:bottom w:val="none" w:sz="0" w:space="0" w:color="auto"/>
                                            <w:right w:val="none" w:sz="0" w:space="0" w:color="auto"/>
                                          </w:divBdr>
                                          <w:divsChild>
                                            <w:div w:id="596447081">
                                              <w:marLeft w:val="0"/>
                                              <w:marRight w:val="0"/>
                                              <w:marTop w:val="0"/>
                                              <w:marBottom w:val="0"/>
                                              <w:divBdr>
                                                <w:top w:val="none" w:sz="0" w:space="0" w:color="auto"/>
                                                <w:left w:val="none" w:sz="0" w:space="0" w:color="auto"/>
                                                <w:bottom w:val="none" w:sz="0" w:space="0" w:color="auto"/>
                                                <w:right w:val="none" w:sz="0" w:space="0" w:color="auto"/>
                                              </w:divBdr>
                                              <w:divsChild>
                                                <w:div w:id="1990861233">
                                                  <w:marLeft w:val="0"/>
                                                  <w:marRight w:val="0"/>
                                                  <w:marTop w:val="0"/>
                                                  <w:marBottom w:val="0"/>
                                                  <w:divBdr>
                                                    <w:top w:val="none" w:sz="0" w:space="0" w:color="auto"/>
                                                    <w:left w:val="none" w:sz="0" w:space="0" w:color="auto"/>
                                                    <w:bottom w:val="none" w:sz="0" w:space="0" w:color="auto"/>
                                                    <w:right w:val="none" w:sz="0" w:space="0" w:color="auto"/>
                                                  </w:divBdr>
                                                  <w:divsChild>
                                                    <w:div w:id="3913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0086557">
      <w:bodyDiv w:val="1"/>
      <w:marLeft w:val="0"/>
      <w:marRight w:val="0"/>
      <w:marTop w:val="0"/>
      <w:marBottom w:val="0"/>
      <w:divBdr>
        <w:top w:val="none" w:sz="0" w:space="0" w:color="auto"/>
        <w:left w:val="none" w:sz="0" w:space="0" w:color="auto"/>
        <w:bottom w:val="none" w:sz="0" w:space="0" w:color="auto"/>
        <w:right w:val="none" w:sz="0" w:space="0" w:color="auto"/>
      </w:divBdr>
    </w:div>
    <w:div w:id="1687563688">
      <w:bodyDiv w:val="1"/>
      <w:marLeft w:val="0"/>
      <w:marRight w:val="0"/>
      <w:marTop w:val="0"/>
      <w:marBottom w:val="0"/>
      <w:divBdr>
        <w:top w:val="none" w:sz="0" w:space="0" w:color="auto"/>
        <w:left w:val="none" w:sz="0" w:space="0" w:color="auto"/>
        <w:bottom w:val="none" w:sz="0" w:space="0" w:color="auto"/>
        <w:right w:val="none" w:sz="0" w:space="0" w:color="auto"/>
      </w:divBdr>
      <w:divsChild>
        <w:div w:id="1969705367">
          <w:marLeft w:val="0"/>
          <w:marRight w:val="0"/>
          <w:marTop w:val="0"/>
          <w:marBottom w:val="0"/>
          <w:divBdr>
            <w:top w:val="none" w:sz="0" w:space="0" w:color="auto"/>
            <w:left w:val="none" w:sz="0" w:space="0" w:color="auto"/>
            <w:bottom w:val="none" w:sz="0" w:space="0" w:color="auto"/>
            <w:right w:val="none" w:sz="0" w:space="0" w:color="auto"/>
          </w:divBdr>
          <w:divsChild>
            <w:div w:id="14325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43706">
      <w:bodyDiv w:val="1"/>
      <w:marLeft w:val="0"/>
      <w:marRight w:val="0"/>
      <w:marTop w:val="0"/>
      <w:marBottom w:val="0"/>
      <w:divBdr>
        <w:top w:val="none" w:sz="0" w:space="0" w:color="auto"/>
        <w:left w:val="none" w:sz="0" w:space="0" w:color="auto"/>
        <w:bottom w:val="none" w:sz="0" w:space="0" w:color="auto"/>
        <w:right w:val="none" w:sz="0" w:space="0" w:color="auto"/>
      </w:divBdr>
      <w:divsChild>
        <w:div w:id="1782919007">
          <w:marLeft w:val="0"/>
          <w:marRight w:val="0"/>
          <w:marTop w:val="0"/>
          <w:marBottom w:val="0"/>
          <w:divBdr>
            <w:top w:val="none" w:sz="0" w:space="0" w:color="auto"/>
            <w:left w:val="none" w:sz="0" w:space="0" w:color="auto"/>
            <w:bottom w:val="none" w:sz="0" w:space="0" w:color="auto"/>
            <w:right w:val="none" w:sz="0" w:space="0" w:color="auto"/>
          </w:divBdr>
          <w:divsChild>
            <w:div w:id="2084138074">
              <w:marLeft w:val="0"/>
              <w:marRight w:val="0"/>
              <w:marTop w:val="0"/>
              <w:marBottom w:val="0"/>
              <w:divBdr>
                <w:top w:val="none" w:sz="0" w:space="0" w:color="auto"/>
                <w:left w:val="none" w:sz="0" w:space="0" w:color="auto"/>
                <w:bottom w:val="none" w:sz="0" w:space="0" w:color="auto"/>
                <w:right w:val="none" w:sz="0" w:space="0" w:color="auto"/>
              </w:divBdr>
              <w:divsChild>
                <w:div w:id="1703824182">
                  <w:marLeft w:val="0"/>
                  <w:marRight w:val="0"/>
                  <w:marTop w:val="0"/>
                  <w:marBottom w:val="0"/>
                  <w:divBdr>
                    <w:top w:val="none" w:sz="0" w:space="0" w:color="auto"/>
                    <w:left w:val="none" w:sz="0" w:space="0" w:color="auto"/>
                    <w:bottom w:val="none" w:sz="0" w:space="0" w:color="auto"/>
                    <w:right w:val="none" w:sz="0" w:space="0" w:color="auto"/>
                  </w:divBdr>
                  <w:divsChild>
                    <w:div w:id="1590970052">
                      <w:marLeft w:val="0"/>
                      <w:marRight w:val="0"/>
                      <w:marTop w:val="0"/>
                      <w:marBottom w:val="0"/>
                      <w:divBdr>
                        <w:top w:val="none" w:sz="0" w:space="0" w:color="auto"/>
                        <w:left w:val="none" w:sz="0" w:space="0" w:color="auto"/>
                        <w:bottom w:val="none" w:sz="0" w:space="0" w:color="auto"/>
                        <w:right w:val="none" w:sz="0" w:space="0" w:color="auto"/>
                      </w:divBdr>
                      <w:divsChild>
                        <w:div w:id="1840846492">
                          <w:marLeft w:val="0"/>
                          <w:marRight w:val="0"/>
                          <w:marTop w:val="0"/>
                          <w:marBottom w:val="0"/>
                          <w:divBdr>
                            <w:top w:val="none" w:sz="0" w:space="0" w:color="auto"/>
                            <w:left w:val="none" w:sz="0" w:space="0" w:color="auto"/>
                            <w:bottom w:val="none" w:sz="0" w:space="0" w:color="auto"/>
                            <w:right w:val="none" w:sz="0" w:space="0" w:color="auto"/>
                          </w:divBdr>
                          <w:divsChild>
                            <w:div w:id="843011541">
                              <w:marLeft w:val="0"/>
                              <w:marRight w:val="0"/>
                              <w:marTop w:val="0"/>
                              <w:marBottom w:val="0"/>
                              <w:divBdr>
                                <w:top w:val="none" w:sz="0" w:space="0" w:color="auto"/>
                                <w:left w:val="none" w:sz="0" w:space="0" w:color="auto"/>
                                <w:bottom w:val="none" w:sz="0" w:space="0" w:color="auto"/>
                                <w:right w:val="none" w:sz="0" w:space="0" w:color="auto"/>
                              </w:divBdr>
                              <w:divsChild>
                                <w:div w:id="1980987155">
                                  <w:marLeft w:val="0"/>
                                  <w:marRight w:val="0"/>
                                  <w:marTop w:val="0"/>
                                  <w:marBottom w:val="0"/>
                                  <w:divBdr>
                                    <w:top w:val="none" w:sz="0" w:space="0" w:color="auto"/>
                                    <w:left w:val="none" w:sz="0" w:space="0" w:color="auto"/>
                                    <w:bottom w:val="none" w:sz="0" w:space="0" w:color="auto"/>
                                    <w:right w:val="none" w:sz="0" w:space="0" w:color="auto"/>
                                  </w:divBdr>
                                  <w:divsChild>
                                    <w:div w:id="1055393422">
                                      <w:marLeft w:val="0"/>
                                      <w:marRight w:val="0"/>
                                      <w:marTop w:val="0"/>
                                      <w:marBottom w:val="0"/>
                                      <w:divBdr>
                                        <w:top w:val="none" w:sz="0" w:space="0" w:color="auto"/>
                                        <w:left w:val="none" w:sz="0" w:space="0" w:color="auto"/>
                                        <w:bottom w:val="none" w:sz="0" w:space="0" w:color="auto"/>
                                        <w:right w:val="none" w:sz="0" w:space="0" w:color="auto"/>
                                      </w:divBdr>
                                      <w:divsChild>
                                        <w:div w:id="1480228761">
                                          <w:marLeft w:val="0"/>
                                          <w:marRight w:val="0"/>
                                          <w:marTop w:val="0"/>
                                          <w:marBottom w:val="0"/>
                                          <w:divBdr>
                                            <w:top w:val="none" w:sz="0" w:space="0" w:color="auto"/>
                                            <w:left w:val="none" w:sz="0" w:space="0" w:color="auto"/>
                                            <w:bottom w:val="none" w:sz="0" w:space="0" w:color="auto"/>
                                            <w:right w:val="none" w:sz="0" w:space="0" w:color="auto"/>
                                          </w:divBdr>
                                          <w:divsChild>
                                            <w:div w:id="1570844501">
                                              <w:marLeft w:val="0"/>
                                              <w:marRight w:val="0"/>
                                              <w:marTop w:val="0"/>
                                              <w:marBottom w:val="0"/>
                                              <w:divBdr>
                                                <w:top w:val="none" w:sz="0" w:space="0" w:color="auto"/>
                                                <w:left w:val="none" w:sz="0" w:space="0" w:color="auto"/>
                                                <w:bottom w:val="none" w:sz="0" w:space="0" w:color="auto"/>
                                                <w:right w:val="none" w:sz="0" w:space="0" w:color="auto"/>
                                              </w:divBdr>
                                              <w:divsChild>
                                                <w:div w:id="370806611">
                                                  <w:marLeft w:val="0"/>
                                                  <w:marRight w:val="0"/>
                                                  <w:marTop w:val="0"/>
                                                  <w:marBottom w:val="0"/>
                                                  <w:divBdr>
                                                    <w:top w:val="none" w:sz="0" w:space="0" w:color="auto"/>
                                                    <w:left w:val="none" w:sz="0" w:space="0" w:color="auto"/>
                                                    <w:bottom w:val="none" w:sz="0" w:space="0" w:color="auto"/>
                                                    <w:right w:val="none" w:sz="0" w:space="0" w:color="auto"/>
                                                  </w:divBdr>
                                                  <w:divsChild>
                                                    <w:div w:id="1614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8385928">
      <w:bodyDiv w:val="1"/>
      <w:marLeft w:val="0"/>
      <w:marRight w:val="0"/>
      <w:marTop w:val="0"/>
      <w:marBottom w:val="0"/>
      <w:divBdr>
        <w:top w:val="none" w:sz="0" w:space="0" w:color="auto"/>
        <w:left w:val="none" w:sz="0" w:space="0" w:color="auto"/>
        <w:bottom w:val="none" w:sz="0" w:space="0" w:color="auto"/>
        <w:right w:val="none" w:sz="0" w:space="0" w:color="auto"/>
      </w:divBdr>
    </w:div>
    <w:div w:id="1701738763">
      <w:bodyDiv w:val="1"/>
      <w:marLeft w:val="0"/>
      <w:marRight w:val="0"/>
      <w:marTop w:val="0"/>
      <w:marBottom w:val="0"/>
      <w:divBdr>
        <w:top w:val="none" w:sz="0" w:space="0" w:color="auto"/>
        <w:left w:val="none" w:sz="0" w:space="0" w:color="auto"/>
        <w:bottom w:val="none" w:sz="0" w:space="0" w:color="auto"/>
        <w:right w:val="none" w:sz="0" w:space="0" w:color="auto"/>
      </w:divBdr>
      <w:divsChild>
        <w:div w:id="912280737">
          <w:marLeft w:val="0"/>
          <w:marRight w:val="0"/>
          <w:marTop w:val="0"/>
          <w:marBottom w:val="0"/>
          <w:divBdr>
            <w:top w:val="none" w:sz="0" w:space="0" w:color="auto"/>
            <w:left w:val="none" w:sz="0" w:space="0" w:color="auto"/>
            <w:bottom w:val="none" w:sz="0" w:space="0" w:color="auto"/>
            <w:right w:val="none" w:sz="0" w:space="0" w:color="auto"/>
          </w:divBdr>
          <w:divsChild>
            <w:div w:id="1377271268">
              <w:marLeft w:val="-225"/>
              <w:marRight w:val="-225"/>
              <w:marTop w:val="0"/>
              <w:marBottom w:val="0"/>
              <w:divBdr>
                <w:top w:val="none" w:sz="0" w:space="0" w:color="auto"/>
                <w:left w:val="none" w:sz="0" w:space="0" w:color="auto"/>
                <w:bottom w:val="none" w:sz="0" w:space="0" w:color="auto"/>
                <w:right w:val="none" w:sz="0" w:space="0" w:color="auto"/>
              </w:divBdr>
              <w:divsChild>
                <w:div w:id="1294868651">
                  <w:marLeft w:val="0"/>
                  <w:marRight w:val="0"/>
                  <w:marTop w:val="0"/>
                  <w:marBottom w:val="0"/>
                  <w:divBdr>
                    <w:top w:val="none" w:sz="0" w:space="0" w:color="auto"/>
                    <w:left w:val="none" w:sz="0" w:space="0" w:color="auto"/>
                    <w:bottom w:val="none" w:sz="0" w:space="0" w:color="auto"/>
                    <w:right w:val="none" w:sz="0" w:space="0" w:color="auto"/>
                  </w:divBdr>
                  <w:divsChild>
                    <w:div w:id="1839495886">
                      <w:marLeft w:val="-225"/>
                      <w:marRight w:val="-225"/>
                      <w:marTop w:val="0"/>
                      <w:marBottom w:val="0"/>
                      <w:divBdr>
                        <w:top w:val="none" w:sz="0" w:space="0" w:color="auto"/>
                        <w:left w:val="none" w:sz="0" w:space="0" w:color="auto"/>
                        <w:bottom w:val="none" w:sz="0" w:space="0" w:color="auto"/>
                        <w:right w:val="none" w:sz="0" w:space="0" w:color="auto"/>
                      </w:divBdr>
                      <w:divsChild>
                        <w:div w:id="2970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479284">
      <w:bodyDiv w:val="1"/>
      <w:marLeft w:val="0"/>
      <w:marRight w:val="0"/>
      <w:marTop w:val="0"/>
      <w:marBottom w:val="0"/>
      <w:divBdr>
        <w:top w:val="none" w:sz="0" w:space="0" w:color="auto"/>
        <w:left w:val="none" w:sz="0" w:space="0" w:color="auto"/>
        <w:bottom w:val="none" w:sz="0" w:space="0" w:color="auto"/>
        <w:right w:val="none" w:sz="0" w:space="0" w:color="auto"/>
      </w:divBdr>
    </w:div>
    <w:div w:id="1717119439">
      <w:bodyDiv w:val="1"/>
      <w:marLeft w:val="0"/>
      <w:marRight w:val="0"/>
      <w:marTop w:val="0"/>
      <w:marBottom w:val="0"/>
      <w:divBdr>
        <w:top w:val="none" w:sz="0" w:space="0" w:color="auto"/>
        <w:left w:val="none" w:sz="0" w:space="0" w:color="auto"/>
        <w:bottom w:val="none" w:sz="0" w:space="0" w:color="auto"/>
        <w:right w:val="none" w:sz="0" w:space="0" w:color="auto"/>
      </w:divBdr>
    </w:div>
    <w:div w:id="1744110110">
      <w:bodyDiv w:val="1"/>
      <w:marLeft w:val="0"/>
      <w:marRight w:val="0"/>
      <w:marTop w:val="0"/>
      <w:marBottom w:val="0"/>
      <w:divBdr>
        <w:top w:val="none" w:sz="0" w:space="0" w:color="auto"/>
        <w:left w:val="none" w:sz="0" w:space="0" w:color="auto"/>
        <w:bottom w:val="none" w:sz="0" w:space="0" w:color="auto"/>
        <w:right w:val="none" w:sz="0" w:space="0" w:color="auto"/>
      </w:divBdr>
    </w:div>
    <w:div w:id="1744376966">
      <w:bodyDiv w:val="1"/>
      <w:marLeft w:val="0"/>
      <w:marRight w:val="0"/>
      <w:marTop w:val="0"/>
      <w:marBottom w:val="0"/>
      <w:divBdr>
        <w:top w:val="none" w:sz="0" w:space="0" w:color="auto"/>
        <w:left w:val="none" w:sz="0" w:space="0" w:color="auto"/>
        <w:bottom w:val="none" w:sz="0" w:space="0" w:color="auto"/>
        <w:right w:val="none" w:sz="0" w:space="0" w:color="auto"/>
      </w:divBdr>
    </w:div>
    <w:div w:id="1745447970">
      <w:bodyDiv w:val="1"/>
      <w:marLeft w:val="0"/>
      <w:marRight w:val="0"/>
      <w:marTop w:val="0"/>
      <w:marBottom w:val="0"/>
      <w:divBdr>
        <w:top w:val="none" w:sz="0" w:space="0" w:color="auto"/>
        <w:left w:val="none" w:sz="0" w:space="0" w:color="auto"/>
        <w:bottom w:val="none" w:sz="0" w:space="0" w:color="auto"/>
        <w:right w:val="none" w:sz="0" w:space="0" w:color="auto"/>
      </w:divBdr>
    </w:div>
    <w:div w:id="1780105905">
      <w:bodyDiv w:val="1"/>
      <w:marLeft w:val="0"/>
      <w:marRight w:val="0"/>
      <w:marTop w:val="0"/>
      <w:marBottom w:val="0"/>
      <w:divBdr>
        <w:top w:val="none" w:sz="0" w:space="0" w:color="auto"/>
        <w:left w:val="none" w:sz="0" w:space="0" w:color="auto"/>
        <w:bottom w:val="none" w:sz="0" w:space="0" w:color="auto"/>
        <w:right w:val="none" w:sz="0" w:space="0" w:color="auto"/>
      </w:divBdr>
    </w:div>
    <w:div w:id="1784110475">
      <w:bodyDiv w:val="1"/>
      <w:marLeft w:val="0"/>
      <w:marRight w:val="0"/>
      <w:marTop w:val="0"/>
      <w:marBottom w:val="0"/>
      <w:divBdr>
        <w:top w:val="none" w:sz="0" w:space="0" w:color="auto"/>
        <w:left w:val="none" w:sz="0" w:space="0" w:color="auto"/>
        <w:bottom w:val="none" w:sz="0" w:space="0" w:color="auto"/>
        <w:right w:val="none" w:sz="0" w:space="0" w:color="auto"/>
      </w:divBdr>
    </w:div>
    <w:div w:id="1789733872">
      <w:bodyDiv w:val="1"/>
      <w:marLeft w:val="0"/>
      <w:marRight w:val="0"/>
      <w:marTop w:val="0"/>
      <w:marBottom w:val="0"/>
      <w:divBdr>
        <w:top w:val="none" w:sz="0" w:space="0" w:color="auto"/>
        <w:left w:val="none" w:sz="0" w:space="0" w:color="auto"/>
        <w:bottom w:val="none" w:sz="0" w:space="0" w:color="auto"/>
        <w:right w:val="none" w:sz="0" w:space="0" w:color="auto"/>
      </w:divBdr>
    </w:div>
    <w:div w:id="1801916760">
      <w:bodyDiv w:val="1"/>
      <w:marLeft w:val="0"/>
      <w:marRight w:val="0"/>
      <w:marTop w:val="0"/>
      <w:marBottom w:val="0"/>
      <w:divBdr>
        <w:top w:val="none" w:sz="0" w:space="0" w:color="auto"/>
        <w:left w:val="none" w:sz="0" w:space="0" w:color="auto"/>
        <w:bottom w:val="none" w:sz="0" w:space="0" w:color="auto"/>
        <w:right w:val="none" w:sz="0" w:space="0" w:color="auto"/>
      </w:divBdr>
      <w:divsChild>
        <w:div w:id="83302998">
          <w:marLeft w:val="0"/>
          <w:marRight w:val="0"/>
          <w:marTop w:val="0"/>
          <w:marBottom w:val="0"/>
          <w:divBdr>
            <w:top w:val="none" w:sz="0" w:space="0" w:color="auto"/>
            <w:left w:val="none" w:sz="0" w:space="0" w:color="auto"/>
            <w:bottom w:val="none" w:sz="0" w:space="0" w:color="auto"/>
            <w:right w:val="none" w:sz="0" w:space="0" w:color="auto"/>
          </w:divBdr>
          <w:divsChild>
            <w:div w:id="5074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3198">
      <w:bodyDiv w:val="1"/>
      <w:marLeft w:val="0"/>
      <w:marRight w:val="0"/>
      <w:marTop w:val="0"/>
      <w:marBottom w:val="0"/>
      <w:divBdr>
        <w:top w:val="none" w:sz="0" w:space="0" w:color="auto"/>
        <w:left w:val="none" w:sz="0" w:space="0" w:color="auto"/>
        <w:bottom w:val="none" w:sz="0" w:space="0" w:color="auto"/>
        <w:right w:val="none" w:sz="0" w:space="0" w:color="auto"/>
      </w:divBdr>
    </w:div>
    <w:div w:id="1818299846">
      <w:bodyDiv w:val="1"/>
      <w:marLeft w:val="0"/>
      <w:marRight w:val="0"/>
      <w:marTop w:val="0"/>
      <w:marBottom w:val="0"/>
      <w:divBdr>
        <w:top w:val="none" w:sz="0" w:space="0" w:color="auto"/>
        <w:left w:val="none" w:sz="0" w:space="0" w:color="auto"/>
        <w:bottom w:val="none" w:sz="0" w:space="0" w:color="auto"/>
        <w:right w:val="none" w:sz="0" w:space="0" w:color="auto"/>
      </w:divBdr>
    </w:div>
    <w:div w:id="1825775445">
      <w:bodyDiv w:val="1"/>
      <w:marLeft w:val="0"/>
      <w:marRight w:val="0"/>
      <w:marTop w:val="0"/>
      <w:marBottom w:val="0"/>
      <w:divBdr>
        <w:top w:val="none" w:sz="0" w:space="0" w:color="auto"/>
        <w:left w:val="none" w:sz="0" w:space="0" w:color="auto"/>
        <w:bottom w:val="none" w:sz="0" w:space="0" w:color="auto"/>
        <w:right w:val="none" w:sz="0" w:space="0" w:color="auto"/>
      </w:divBdr>
      <w:divsChild>
        <w:div w:id="337854510">
          <w:marLeft w:val="0"/>
          <w:marRight w:val="0"/>
          <w:marTop w:val="0"/>
          <w:marBottom w:val="0"/>
          <w:divBdr>
            <w:top w:val="none" w:sz="0" w:space="0" w:color="auto"/>
            <w:left w:val="none" w:sz="0" w:space="0" w:color="auto"/>
            <w:bottom w:val="none" w:sz="0" w:space="0" w:color="auto"/>
            <w:right w:val="none" w:sz="0" w:space="0" w:color="auto"/>
          </w:divBdr>
          <w:divsChild>
            <w:div w:id="11196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2400">
      <w:bodyDiv w:val="1"/>
      <w:marLeft w:val="0"/>
      <w:marRight w:val="0"/>
      <w:marTop w:val="0"/>
      <w:marBottom w:val="0"/>
      <w:divBdr>
        <w:top w:val="none" w:sz="0" w:space="0" w:color="auto"/>
        <w:left w:val="none" w:sz="0" w:space="0" w:color="auto"/>
        <w:bottom w:val="none" w:sz="0" w:space="0" w:color="auto"/>
        <w:right w:val="none" w:sz="0" w:space="0" w:color="auto"/>
      </w:divBdr>
    </w:div>
    <w:div w:id="1834487588">
      <w:bodyDiv w:val="1"/>
      <w:marLeft w:val="0"/>
      <w:marRight w:val="0"/>
      <w:marTop w:val="0"/>
      <w:marBottom w:val="0"/>
      <w:divBdr>
        <w:top w:val="none" w:sz="0" w:space="0" w:color="auto"/>
        <w:left w:val="none" w:sz="0" w:space="0" w:color="auto"/>
        <w:bottom w:val="none" w:sz="0" w:space="0" w:color="auto"/>
        <w:right w:val="none" w:sz="0" w:space="0" w:color="auto"/>
      </w:divBdr>
    </w:div>
    <w:div w:id="1839033349">
      <w:bodyDiv w:val="1"/>
      <w:marLeft w:val="0"/>
      <w:marRight w:val="0"/>
      <w:marTop w:val="0"/>
      <w:marBottom w:val="0"/>
      <w:divBdr>
        <w:top w:val="none" w:sz="0" w:space="0" w:color="auto"/>
        <w:left w:val="none" w:sz="0" w:space="0" w:color="auto"/>
        <w:bottom w:val="none" w:sz="0" w:space="0" w:color="auto"/>
        <w:right w:val="none" w:sz="0" w:space="0" w:color="auto"/>
      </w:divBdr>
    </w:div>
    <w:div w:id="1845510583">
      <w:bodyDiv w:val="1"/>
      <w:marLeft w:val="0"/>
      <w:marRight w:val="0"/>
      <w:marTop w:val="0"/>
      <w:marBottom w:val="0"/>
      <w:divBdr>
        <w:top w:val="none" w:sz="0" w:space="0" w:color="auto"/>
        <w:left w:val="none" w:sz="0" w:space="0" w:color="auto"/>
        <w:bottom w:val="none" w:sz="0" w:space="0" w:color="auto"/>
        <w:right w:val="none" w:sz="0" w:space="0" w:color="auto"/>
      </w:divBdr>
      <w:divsChild>
        <w:div w:id="1776822618">
          <w:marLeft w:val="0"/>
          <w:marRight w:val="0"/>
          <w:marTop w:val="0"/>
          <w:marBottom w:val="0"/>
          <w:divBdr>
            <w:top w:val="none" w:sz="0" w:space="0" w:color="auto"/>
            <w:left w:val="none" w:sz="0" w:space="0" w:color="auto"/>
            <w:bottom w:val="none" w:sz="0" w:space="0" w:color="auto"/>
            <w:right w:val="none" w:sz="0" w:space="0" w:color="auto"/>
          </w:divBdr>
          <w:divsChild>
            <w:div w:id="1766608821">
              <w:marLeft w:val="0"/>
              <w:marRight w:val="0"/>
              <w:marTop w:val="0"/>
              <w:marBottom w:val="0"/>
              <w:divBdr>
                <w:top w:val="none" w:sz="0" w:space="0" w:color="auto"/>
                <w:left w:val="none" w:sz="0" w:space="0" w:color="auto"/>
                <w:bottom w:val="none" w:sz="0" w:space="0" w:color="auto"/>
                <w:right w:val="none" w:sz="0" w:space="0" w:color="auto"/>
              </w:divBdr>
              <w:divsChild>
                <w:div w:id="594947551">
                  <w:marLeft w:val="0"/>
                  <w:marRight w:val="0"/>
                  <w:marTop w:val="0"/>
                  <w:marBottom w:val="0"/>
                  <w:divBdr>
                    <w:top w:val="none" w:sz="0" w:space="0" w:color="auto"/>
                    <w:left w:val="none" w:sz="0" w:space="0" w:color="auto"/>
                    <w:bottom w:val="none" w:sz="0" w:space="0" w:color="auto"/>
                    <w:right w:val="none" w:sz="0" w:space="0" w:color="auto"/>
                  </w:divBdr>
                  <w:divsChild>
                    <w:div w:id="13169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3951">
      <w:bodyDiv w:val="1"/>
      <w:marLeft w:val="0"/>
      <w:marRight w:val="0"/>
      <w:marTop w:val="0"/>
      <w:marBottom w:val="0"/>
      <w:divBdr>
        <w:top w:val="none" w:sz="0" w:space="0" w:color="auto"/>
        <w:left w:val="none" w:sz="0" w:space="0" w:color="auto"/>
        <w:bottom w:val="none" w:sz="0" w:space="0" w:color="auto"/>
        <w:right w:val="none" w:sz="0" w:space="0" w:color="auto"/>
      </w:divBdr>
    </w:div>
    <w:div w:id="1855873332">
      <w:bodyDiv w:val="1"/>
      <w:marLeft w:val="0"/>
      <w:marRight w:val="0"/>
      <w:marTop w:val="0"/>
      <w:marBottom w:val="0"/>
      <w:divBdr>
        <w:top w:val="none" w:sz="0" w:space="0" w:color="auto"/>
        <w:left w:val="none" w:sz="0" w:space="0" w:color="auto"/>
        <w:bottom w:val="none" w:sz="0" w:space="0" w:color="auto"/>
        <w:right w:val="none" w:sz="0" w:space="0" w:color="auto"/>
      </w:divBdr>
    </w:div>
    <w:div w:id="1856842677">
      <w:bodyDiv w:val="1"/>
      <w:marLeft w:val="0"/>
      <w:marRight w:val="0"/>
      <w:marTop w:val="0"/>
      <w:marBottom w:val="0"/>
      <w:divBdr>
        <w:top w:val="none" w:sz="0" w:space="0" w:color="auto"/>
        <w:left w:val="none" w:sz="0" w:space="0" w:color="auto"/>
        <w:bottom w:val="none" w:sz="0" w:space="0" w:color="auto"/>
        <w:right w:val="none" w:sz="0" w:space="0" w:color="auto"/>
      </w:divBdr>
    </w:div>
    <w:div w:id="1865482249">
      <w:bodyDiv w:val="1"/>
      <w:marLeft w:val="0"/>
      <w:marRight w:val="0"/>
      <w:marTop w:val="0"/>
      <w:marBottom w:val="0"/>
      <w:divBdr>
        <w:top w:val="none" w:sz="0" w:space="0" w:color="auto"/>
        <w:left w:val="none" w:sz="0" w:space="0" w:color="auto"/>
        <w:bottom w:val="none" w:sz="0" w:space="0" w:color="auto"/>
        <w:right w:val="none" w:sz="0" w:space="0" w:color="auto"/>
      </w:divBdr>
    </w:div>
    <w:div w:id="1875192789">
      <w:bodyDiv w:val="1"/>
      <w:marLeft w:val="0"/>
      <w:marRight w:val="0"/>
      <w:marTop w:val="0"/>
      <w:marBottom w:val="0"/>
      <w:divBdr>
        <w:top w:val="none" w:sz="0" w:space="0" w:color="auto"/>
        <w:left w:val="none" w:sz="0" w:space="0" w:color="auto"/>
        <w:bottom w:val="none" w:sz="0" w:space="0" w:color="auto"/>
        <w:right w:val="none" w:sz="0" w:space="0" w:color="auto"/>
      </w:divBdr>
    </w:div>
    <w:div w:id="1877884430">
      <w:bodyDiv w:val="1"/>
      <w:marLeft w:val="0"/>
      <w:marRight w:val="0"/>
      <w:marTop w:val="0"/>
      <w:marBottom w:val="0"/>
      <w:divBdr>
        <w:top w:val="none" w:sz="0" w:space="0" w:color="auto"/>
        <w:left w:val="none" w:sz="0" w:space="0" w:color="auto"/>
        <w:bottom w:val="none" w:sz="0" w:space="0" w:color="auto"/>
        <w:right w:val="none" w:sz="0" w:space="0" w:color="auto"/>
      </w:divBdr>
    </w:div>
    <w:div w:id="1881167735">
      <w:bodyDiv w:val="1"/>
      <w:marLeft w:val="0"/>
      <w:marRight w:val="0"/>
      <w:marTop w:val="0"/>
      <w:marBottom w:val="0"/>
      <w:divBdr>
        <w:top w:val="none" w:sz="0" w:space="0" w:color="auto"/>
        <w:left w:val="none" w:sz="0" w:space="0" w:color="auto"/>
        <w:bottom w:val="none" w:sz="0" w:space="0" w:color="auto"/>
        <w:right w:val="none" w:sz="0" w:space="0" w:color="auto"/>
      </w:divBdr>
    </w:div>
    <w:div w:id="1889102769">
      <w:bodyDiv w:val="1"/>
      <w:marLeft w:val="0"/>
      <w:marRight w:val="0"/>
      <w:marTop w:val="0"/>
      <w:marBottom w:val="0"/>
      <w:divBdr>
        <w:top w:val="none" w:sz="0" w:space="0" w:color="auto"/>
        <w:left w:val="none" w:sz="0" w:space="0" w:color="auto"/>
        <w:bottom w:val="none" w:sz="0" w:space="0" w:color="auto"/>
        <w:right w:val="none" w:sz="0" w:space="0" w:color="auto"/>
      </w:divBdr>
    </w:div>
    <w:div w:id="1893538859">
      <w:bodyDiv w:val="1"/>
      <w:marLeft w:val="0"/>
      <w:marRight w:val="0"/>
      <w:marTop w:val="0"/>
      <w:marBottom w:val="0"/>
      <w:divBdr>
        <w:top w:val="none" w:sz="0" w:space="0" w:color="auto"/>
        <w:left w:val="none" w:sz="0" w:space="0" w:color="auto"/>
        <w:bottom w:val="none" w:sz="0" w:space="0" w:color="auto"/>
        <w:right w:val="none" w:sz="0" w:space="0" w:color="auto"/>
      </w:divBdr>
    </w:div>
    <w:div w:id="1907182534">
      <w:bodyDiv w:val="1"/>
      <w:marLeft w:val="0"/>
      <w:marRight w:val="0"/>
      <w:marTop w:val="0"/>
      <w:marBottom w:val="0"/>
      <w:divBdr>
        <w:top w:val="none" w:sz="0" w:space="0" w:color="auto"/>
        <w:left w:val="none" w:sz="0" w:space="0" w:color="auto"/>
        <w:bottom w:val="none" w:sz="0" w:space="0" w:color="auto"/>
        <w:right w:val="none" w:sz="0" w:space="0" w:color="auto"/>
      </w:divBdr>
      <w:divsChild>
        <w:div w:id="435835165">
          <w:marLeft w:val="0"/>
          <w:marRight w:val="0"/>
          <w:marTop w:val="0"/>
          <w:marBottom w:val="0"/>
          <w:divBdr>
            <w:top w:val="none" w:sz="0" w:space="0" w:color="auto"/>
            <w:left w:val="none" w:sz="0" w:space="0" w:color="auto"/>
            <w:bottom w:val="none" w:sz="0" w:space="0" w:color="auto"/>
            <w:right w:val="none" w:sz="0" w:space="0" w:color="auto"/>
          </w:divBdr>
          <w:divsChild>
            <w:div w:id="754938261">
              <w:marLeft w:val="-225"/>
              <w:marRight w:val="-225"/>
              <w:marTop w:val="0"/>
              <w:marBottom w:val="0"/>
              <w:divBdr>
                <w:top w:val="none" w:sz="0" w:space="0" w:color="auto"/>
                <w:left w:val="none" w:sz="0" w:space="0" w:color="auto"/>
                <w:bottom w:val="none" w:sz="0" w:space="0" w:color="auto"/>
                <w:right w:val="none" w:sz="0" w:space="0" w:color="auto"/>
              </w:divBdr>
              <w:divsChild>
                <w:div w:id="13754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94168">
      <w:bodyDiv w:val="1"/>
      <w:marLeft w:val="0"/>
      <w:marRight w:val="0"/>
      <w:marTop w:val="0"/>
      <w:marBottom w:val="0"/>
      <w:divBdr>
        <w:top w:val="none" w:sz="0" w:space="0" w:color="auto"/>
        <w:left w:val="none" w:sz="0" w:space="0" w:color="auto"/>
        <w:bottom w:val="none" w:sz="0" w:space="0" w:color="auto"/>
        <w:right w:val="none" w:sz="0" w:space="0" w:color="auto"/>
      </w:divBdr>
    </w:div>
    <w:div w:id="1924100366">
      <w:bodyDiv w:val="1"/>
      <w:marLeft w:val="0"/>
      <w:marRight w:val="0"/>
      <w:marTop w:val="0"/>
      <w:marBottom w:val="0"/>
      <w:divBdr>
        <w:top w:val="none" w:sz="0" w:space="0" w:color="auto"/>
        <w:left w:val="none" w:sz="0" w:space="0" w:color="auto"/>
        <w:bottom w:val="none" w:sz="0" w:space="0" w:color="auto"/>
        <w:right w:val="none" w:sz="0" w:space="0" w:color="auto"/>
      </w:divBdr>
    </w:div>
    <w:div w:id="1928228582">
      <w:bodyDiv w:val="1"/>
      <w:marLeft w:val="0"/>
      <w:marRight w:val="0"/>
      <w:marTop w:val="0"/>
      <w:marBottom w:val="0"/>
      <w:divBdr>
        <w:top w:val="none" w:sz="0" w:space="0" w:color="auto"/>
        <w:left w:val="none" w:sz="0" w:space="0" w:color="auto"/>
        <w:bottom w:val="none" w:sz="0" w:space="0" w:color="auto"/>
        <w:right w:val="none" w:sz="0" w:space="0" w:color="auto"/>
      </w:divBdr>
    </w:div>
    <w:div w:id="1931547263">
      <w:bodyDiv w:val="1"/>
      <w:marLeft w:val="0"/>
      <w:marRight w:val="0"/>
      <w:marTop w:val="0"/>
      <w:marBottom w:val="0"/>
      <w:divBdr>
        <w:top w:val="none" w:sz="0" w:space="0" w:color="auto"/>
        <w:left w:val="none" w:sz="0" w:space="0" w:color="auto"/>
        <w:bottom w:val="none" w:sz="0" w:space="0" w:color="auto"/>
        <w:right w:val="none" w:sz="0" w:space="0" w:color="auto"/>
      </w:divBdr>
      <w:divsChild>
        <w:div w:id="1167407404">
          <w:marLeft w:val="0"/>
          <w:marRight w:val="0"/>
          <w:marTop w:val="0"/>
          <w:marBottom w:val="0"/>
          <w:divBdr>
            <w:top w:val="none" w:sz="0" w:space="0" w:color="auto"/>
            <w:left w:val="none" w:sz="0" w:space="0" w:color="auto"/>
            <w:bottom w:val="none" w:sz="0" w:space="0" w:color="auto"/>
            <w:right w:val="none" w:sz="0" w:space="0" w:color="auto"/>
          </w:divBdr>
        </w:div>
        <w:div w:id="1705328016">
          <w:marLeft w:val="0"/>
          <w:marRight w:val="0"/>
          <w:marTop w:val="0"/>
          <w:marBottom w:val="0"/>
          <w:divBdr>
            <w:top w:val="none" w:sz="0" w:space="0" w:color="auto"/>
            <w:left w:val="none" w:sz="0" w:space="0" w:color="auto"/>
            <w:bottom w:val="none" w:sz="0" w:space="0" w:color="auto"/>
            <w:right w:val="none" w:sz="0" w:space="0" w:color="auto"/>
          </w:divBdr>
        </w:div>
        <w:div w:id="1512602727">
          <w:marLeft w:val="0"/>
          <w:marRight w:val="0"/>
          <w:marTop w:val="0"/>
          <w:marBottom w:val="0"/>
          <w:divBdr>
            <w:top w:val="none" w:sz="0" w:space="0" w:color="auto"/>
            <w:left w:val="none" w:sz="0" w:space="0" w:color="auto"/>
            <w:bottom w:val="none" w:sz="0" w:space="0" w:color="auto"/>
            <w:right w:val="none" w:sz="0" w:space="0" w:color="auto"/>
          </w:divBdr>
        </w:div>
        <w:div w:id="737050047">
          <w:marLeft w:val="0"/>
          <w:marRight w:val="0"/>
          <w:marTop w:val="0"/>
          <w:marBottom w:val="0"/>
          <w:divBdr>
            <w:top w:val="none" w:sz="0" w:space="0" w:color="auto"/>
            <w:left w:val="none" w:sz="0" w:space="0" w:color="auto"/>
            <w:bottom w:val="none" w:sz="0" w:space="0" w:color="auto"/>
            <w:right w:val="none" w:sz="0" w:space="0" w:color="auto"/>
          </w:divBdr>
        </w:div>
        <w:div w:id="584802769">
          <w:marLeft w:val="0"/>
          <w:marRight w:val="0"/>
          <w:marTop w:val="0"/>
          <w:marBottom w:val="0"/>
          <w:divBdr>
            <w:top w:val="none" w:sz="0" w:space="0" w:color="auto"/>
            <w:left w:val="none" w:sz="0" w:space="0" w:color="auto"/>
            <w:bottom w:val="none" w:sz="0" w:space="0" w:color="auto"/>
            <w:right w:val="none" w:sz="0" w:space="0" w:color="auto"/>
          </w:divBdr>
        </w:div>
        <w:div w:id="824979272">
          <w:marLeft w:val="0"/>
          <w:marRight w:val="0"/>
          <w:marTop w:val="0"/>
          <w:marBottom w:val="0"/>
          <w:divBdr>
            <w:top w:val="none" w:sz="0" w:space="0" w:color="auto"/>
            <w:left w:val="none" w:sz="0" w:space="0" w:color="auto"/>
            <w:bottom w:val="none" w:sz="0" w:space="0" w:color="auto"/>
            <w:right w:val="none" w:sz="0" w:space="0" w:color="auto"/>
          </w:divBdr>
        </w:div>
        <w:div w:id="80877055">
          <w:marLeft w:val="0"/>
          <w:marRight w:val="0"/>
          <w:marTop w:val="0"/>
          <w:marBottom w:val="0"/>
          <w:divBdr>
            <w:top w:val="none" w:sz="0" w:space="0" w:color="auto"/>
            <w:left w:val="none" w:sz="0" w:space="0" w:color="auto"/>
            <w:bottom w:val="none" w:sz="0" w:space="0" w:color="auto"/>
            <w:right w:val="none" w:sz="0" w:space="0" w:color="auto"/>
          </w:divBdr>
        </w:div>
        <w:div w:id="1659963341">
          <w:marLeft w:val="0"/>
          <w:marRight w:val="0"/>
          <w:marTop w:val="0"/>
          <w:marBottom w:val="0"/>
          <w:divBdr>
            <w:top w:val="none" w:sz="0" w:space="0" w:color="auto"/>
            <w:left w:val="none" w:sz="0" w:space="0" w:color="auto"/>
            <w:bottom w:val="none" w:sz="0" w:space="0" w:color="auto"/>
            <w:right w:val="none" w:sz="0" w:space="0" w:color="auto"/>
          </w:divBdr>
        </w:div>
        <w:div w:id="1155609676">
          <w:marLeft w:val="0"/>
          <w:marRight w:val="0"/>
          <w:marTop w:val="0"/>
          <w:marBottom w:val="0"/>
          <w:divBdr>
            <w:top w:val="none" w:sz="0" w:space="0" w:color="auto"/>
            <w:left w:val="none" w:sz="0" w:space="0" w:color="auto"/>
            <w:bottom w:val="none" w:sz="0" w:space="0" w:color="auto"/>
            <w:right w:val="none" w:sz="0" w:space="0" w:color="auto"/>
          </w:divBdr>
        </w:div>
        <w:div w:id="1719353794">
          <w:marLeft w:val="0"/>
          <w:marRight w:val="0"/>
          <w:marTop w:val="0"/>
          <w:marBottom w:val="0"/>
          <w:divBdr>
            <w:top w:val="none" w:sz="0" w:space="0" w:color="auto"/>
            <w:left w:val="none" w:sz="0" w:space="0" w:color="auto"/>
            <w:bottom w:val="none" w:sz="0" w:space="0" w:color="auto"/>
            <w:right w:val="none" w:sz="0" w:space="0" w:color="auto"/>
          </w:divBdr>
        </w:div>
        <w:div w:id="1136948259">
          <w:marLeft w:val="0"/>
          <w:marRight w:val="0"/>
          <w:marTop w:val="0"/>
          <w:marBottom w:val="0"/>
          <w:divBdr>
            <w:top w:val="none" w:sz="0" w:space="0" w:color="auto"/>
            <w:left w:val="none" w:sz="0" w:space="0" w:color="auto"/>
            <w:bottom w:val="none" w:sz="0" w:space="0" w:color="auto"/>
            <w:right w:val="none" w:sz="0" w:space="0" w:color="auto"/>
          </w:divBdr>
        </w:div>
        <w:div w:id="359162266">
          <w:marLeft w:val="0"/>
          <w:marRight w:val="0"/>
          <w:marTop w:val="0"/>
          <w:marBottom w:val="0"/>
          <w:divBdr>
            <w:top w:val="none" w:sz="0" w:space="0" w:color="auto"/>
            <w:left w:val="none" w:sz="0" w:space="0" w:color="auto"/>
            <w:bottom w:val="none" w:sz="0" w:space="0" w:color="auto"/>
            <w:right w:val="none" w:sz="0" w:space="0" w:color="auto"/>
          </w:divBdr>
        </w:div>
        <w:div w:id="1686520149">
          <w:marLeft w:val="0"/>
          <w:marRight w:val="0"/>
          <w:marTop w:val="0"/>
          <w:marBottom w:val="0"/>
          <w:divBdr>
            <w:top w:val="none" w:sz="0" w:space="0" w:color="auto"/>
            <w:left w:val="none" w:sz="0" w:space="0" w:color="auto"/>
            <w:bottom w:val="none" w:sz="0" w:space="0" w:color="auto"/>
            <w:right w:val="none" w:sz="0" w:space="0" w:color="auto"/>
          </w:divBdr>
        </w:div>
        <w:div w:id="1830052871">
          <w:marLeft w:val="0"/>
          <w:marRight w:val="0"/>
          <w:marTop w:val="0"/>
          <w:marBottom w:val="0"/>
          <w:divBdr>
            <w:top w:val="none" w:sz="0" w:space="0" w:color="auto"/>
            <w:left w:val="none" w:sz="0" w:space="0" w:color="auto"/>
            <w:bottom w:val="none" w:sz="0" w:space="0" w:color="auto"/>
            <w:right w:val="none" w:sz="0" w:space="0" w:color="auto"/>
          </w:divBdr>
        </w:div>
        <w:div w:id="278028177">
          <w:marLeft w:val="0"/>
          <w:marRight w:val="0"/>
          <w:marTop w:val="0"/>
          <w:marBottom w:val="0"/>
          <w:divBdr>
            <w:top w:val="none" w:sz="0" w:space="0" w:color="auto"/>
            <w:left w:val="none" w:sz="0" w:space="0" w:color="auto"/>
            <w:bottom w:val="none" w:sz="0" w:space="0" w:color="auto"/>
            <w:right w:val="none" w:sz="0" w:space="0" w:color="auto"/>
          </w:divBdr>
        </w:div>
        <w:div w:id="1901482247">
          <w:marLeft w:val="0"/>
          <w:marRight w:val="0"/>
          <w:marTop w:val="0"/>
          <w:marBottom w:val="0"/>
          <w:divBdr>
            <w:top w:val="none" w:sz="0" w:space="0" w:color="auto"/>
            <w:left w:val="none" w:sz="0" w:space="0" w:color="auto"/>
            <w:bottom w:val="none" w:sz="0" w:space="0" w:color="auto"/>
            <w:right w:val="none" w:sz="0" w:space="0" w:color="auto"/>
          </w:divBdr>
        </w:div>
        <w:div w:id="316501357">
          <w:marLeft w:val="0"/>
          <w:marRight w:val="0"/>
          <w:marTop w:val="0"/>
          <w:marBottom w:val="0"/>
          <w:divBdr>
            <w:top w:val="none" w:sz="0" w:space="0" w:color="auto"/>
            <w:left w:val="none" w:sz="0" w:space="0" w:color="auto"/>
            <w:bottom w:val="none" w:sz="0" w:space="0" w:color="auto"/>
            <w:right w:val="none" w:sz="0" w:space="0" w:color="auto"/>
          </w:divBdr>
        </w:div>
        <w:div w:id="377516087">
          <w:marLeft w:val="0"/>
          <w:marRight w:val="0"/>
          <w:marTop w:val="0"/>
          <w:marBottom w:val="0"/>
          <w:divBdr>
            <w:top w:val="none" w:sz="0" w:space="0" w:color="auto"/>
            <w:left w:val="none" w:sz="0" w:space="0" w:color="auto"/>
            <w:bottom w:val="none" w:sz="0" w:space="0" w:color="auto"/>
            <w:right w:val="none" w:sz="0" w:space="0" w:color="auto"/>
          </w:divBdr>
        </w:div>
        <w:div w:id="157381207">
          <w:marLeft w:val="0"/>
          <w:marRight w:val="0"/>
          <w:marTop w:val="0"/>
          <w:marBottom w:val="0"/>
          <w:divBdr>
            <w:top w:val="none" w:sz="0" w:space="0" w:color="auto"/>
            <w:left w:val="none" w:sz="0" w:space="0" w:color="auto"/>
            <w:bottom w:val="none" w:sz="0" w:space="0" w:color="auto"/>
            <w:right w:val="none" w:sz="0" w:space="0" w:color="auto"/>
          </w:divBdr>
        </w:div>
        <w:div w:id="546452995">
          <w:marLeft w:val="0"/>
          <w:marRight w:val="0"/>
          <w:marTop w:val="0"/>
          <w:marBottom w:val="0"/>
          <w:divBdr>
            <w:top w:val="none" w:sz="0" w:space="0" w:color="auto"/>
            <w:left w:val="none" w:sz="0" w:space="0" w:color="auto"/>
            <w:bottom w:val="none" w:sz="0" w:space="0" w:color="auto"/>
            <w:right w:val="none" w:sz="0" w:space="0" w:color="auto"/>
          </w:divBdr>
        </w:div>
        <w:div w:id="520245527">
          <w:marLeft w:val="0"/>
          <w:marRight w:val="0"/>
          <w:marTop w:val="0"/>
          <w:marBottom w:val="0"/>
          <w:divBdr>
            <w:top w:val="none" w:sz="0" w:space="0" w:color="auto"/>
            <w:left w:val="none" w:sz="0" w:space="0" w:color="auto"/>
            <w:bottom w:val="none" w:sz="0" w:space="0" w:color="auto"/>
            <w:right w:val="none" w:sz="0" w:space="0" w:color="auto"/>
          </w:divBdr>
        </w:div>
      </w:divsChild>
    </w:div>
    <w:div w:id="1934433955">
      <w:bodyDiv w:val="1"/>
      <w:marLeft w:val="0"/>
      <w:marRight w:val="0"/>
      <w:marTop w:val="0"/>
      <w:marBottom w:val="0"/>
      <w:divBdr>
        <w:top w:val="none" w:sz="0" w:space="0" w:color="auto"/>
        <w:left w:val="none" w:sz="0" w:space="0" w:color="auto"/>
        <w:bottom w:val="none" w:sz="0" w:space="0" w:color="auto"/>
        <w:right w:val="none" w:sz="0" w:space="0" w:color="auto"/>
      </w:divBdr>
    </w:div>
    <w:div w:id="1950237176">
      <w:bodyDiv w:val="1"/>
      <w:marLeft w:val="0"/>
      <w:marRight w:val="0"/>
      <w:marTop w:val="0"/>
      <w:marBottom w:val="0"/>
      <w:divBdr>
        <w:top w:val="none" w:sz="0" w:space="0" w:color="auto"/>
        <w:left w:val="none" w:sz="0" w:space="0" w:color="auto"/>
        <w:bottom w:val="none" w:sz="0" w:space="0" w:color="auto"/>
        <w:right w:val="none" w:sz="0" w:space="0" w:color="auto"/>
      </w:divBdr>
    </w:div>
    <w:div w:id="1950428908">
      <w:bodyDiv w:val="1"/>
      <w:marLeft w:val="0"/>
      <w:marRight w:val="0"/>
      <w:marTop w:val="0"/>
      <w:marBottom w:val="0"/>
      <w:divBdr>
        <w:top w:val="none" w:sz="0" w:space="0" w:color="auto"/>
        <w:left w:val="none" w:sz="0" w:space="0" w:color="auto"/>
        <w:bottom w:val="none" w:sz="0" w:space="0" w:color="auto"/>
        <w:right w:val="none" w:sz="0" w:space="0" w:color="auto"/>
      </w:divBdr>
      <w:divsChild>
        <w:div w:id="116070125">
          <w:marLeft w:val="0"/>
          <w:marRight w:val="0"/>
          <w:marTop w:val="0"/>
          <w:marBottom w:val="0"/>
          <w:divBdr>
            <w:top w:val="none" w:sz="0" w:space="0" w:color="auto"/>
            <w:left w:val="none" w:sz="0" w:space="0" w:color="auto"/>
            <w:bottom w:val="none" w:sz="0" w:space="0" w:color="auto"/>
            <w:right w:val="none" w:sz="0" w:space="0" w:color="auto"/>
          </w:divBdr>
          <w:divsChild>
            <w:div w:id="15158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8138">
      <w:bodyDiv w:val="1"/>
      <w:marLeft w:val="0"/>
      <w:marRight w:val="0"/>
      <w:marTop w:val="0"/>
      <w:marBottom w:val="0"/>
      <w:divBdr>
        <w:top w:val="none" w:sz="0" w:space="0" w:color="auto"/>
        <w:left w:val="none" w:sz="0" w:space="0" w:color="auto"/>
        <w:bottom w:val="none" w:sz="0" w:space="0" w:color="auto"/>
        <w:right w:val="none" w:sz="0" w:space="0" w:color="auto"/>
      </w:divBdr>
    </w:div>
    <w:div w:id="1955167420">
      <w:bodyDiv w:val="1"/>
      <w:marLeft w:val="0"/>
      <w:marRight w:val="0"/>
      <w:marTop w:val="0"/>
      <w:marBottom w:val="0"/>
      <w:divBdr>
        <w:top w:val="none" w:sz="0" w:space="0" w:color="auto"/>
        <w:left w:val="none" w:sz="0" w:space="0" w:color="auto"/>
        <w:bottom w:val="none" w:sz="0" w:space="0" w:color="auto"/>
        <w:right w:val="none" w:sz="0" w:space="0" w:color="auto"/>
      </w:divBdr>
    </w:div>
    <w:div w:id="1956449099">
      <w:bodyDiv w:val="1"/>
      <w:marLeft w:val="0"/>
      <w:marRight w:val="0"/>
      <w:marTop w:val="0"/>
      <w:marBottom w:val="0"/>
      <w:divBdr>
        <w:top w:val="none" w:sz="0" w:space="0" w:color="auto"/>
        <w:left w:val="none" w:sz="0" w:space="0" w:color="auto"/>
        <w:bottom w:val="none" w:sz="0" w:space="0" w:color="auto"/>
        <w:right w:val="none" w:sz="0" w:space="0" w:color="auto"/>
      </w:divBdr>
    </w:div>
    <w:div w:id="1963537110">
      <w:bodyDiv w:val="1"/>
      <w:marLeft w:val="0"/>
      <w:marRight w:val="0"/>
      <w:marTop w:val="0"/>
      <w:marBottom w:val="0"/>
      <w:divBdr>
        <w:top w:val="none" w:sz="0" w:space="0" w:color="auto"/>
        <w:left w:val="none" w:sz="0" w:space="0" w:color="auto"/>
        <w:bottom w:val="none" w:sz="0" w:space="0" w:color="auto"/>
        <w:right w:val="none" w:sz="0" w:space="0" w:color="auto"/>
      </w:divBdr>
    </w:div>
    <w:div w:id="1978030236">
      <w:bodyDiv w:val="1"/>
      <w:marLeft w:val="0"/>
      <w:marRight w:val="0"/>
      <w:marTop w:val="0"/>
      <w:marBottom w:val="0"/>
      <w:divBdr>
        <w:top w:val="none" w:sz="0" w:space="0" w:color="auto"/>
        <w:left w:val="none" w:sz="0" w:space="0" w:color="auto"/>
        <w:bottom w:val="none" w:sz="0" w:space="0" w:color="auto"/>
        <w:right w:val="none" w:sz="0" w:space="0" w:color="auto"/>
      </w:divBdr>
      <w:divsChild>
        <w:div w:id="1783570941">
          <w:marLeft w:val="0"/>
          <w:marRight w:val="0"/>
          <w:marTop w:val="0"/>
          <w:marBottom w:val="0"/>
          <w:divBdr>
            <w:top w:val="none" w:sz="0" w:space="0" w:color="auto"/>
            <w:left w:val="none" w:sz="0" w:space="0" w:color="auto"/>
            <w:bottom w:val="none" w:sz="0" w:space="0" w:color="auto"/>
            <w:right w:val="none" w:sz="0" w:space="0" w:color="auto"/>
          </w:divBdr>
          <w:divsChild>
            <w:div w:id="223420344">
              <w:marLeft w:val="0"/>
              <w:marRight w:val="0"/>
              <w:marTop w:val="0"/>
              <w:marBottom w:val="0"/>
              <w:divBdr>
                <w:top w:val="none" w:sz="0" w:space="0" w:color="auto"/>
                <w:left w:val="none" w:sz="0" w:space="0" w:color="auto"/>
                <w:bottom w:val="none" w:sz="0" w:space="0" w:color="auto"/>
                <w:right w:val="none" w:sz="0" w:space="0" w:color="auto"/>
              </w:divBdr>
              <w:divsChild>
                <w:div w:id="454757234">
                  <w:marLeft w:val="0"/>
                  <w:marRight w:val="0"/>
                  <w:marTop w:val="0"/>
                  <w:marBottom w:val="0"/>
                  <w:divBdr>
                    <w:top w:val="none" w:sz="0" w:space="0" w:color="auto"/>
                    <w:left w:val="none" w:sz="0" w:space="0" w:color="auto"/>
                    <w:bottom w:val="none" w:sz="0" w:space="0" w:color="auto"/>
                    <w:right w:val="none" w:sz="0" w:space="0" w:color="auto"/>
                  </w:divBdr>
                  <w:divsChild>
                    <w:div w:id="1150899984">
                      <w:marLeft w:val="0"/>
                      <w:marRight w:val="0"/>
                      <w:marTop w:val="0"/>
                      <w:marBottom w:val="0"/>
                      <w:divBdr>
                        <w:top w:val="none" w:sz="0" w:space="0" w:color="auto"/>
                        <w:left w:val="none" w:sz="0" w:space="0" w:color="auto"/>
                        <w:bottom w:val="none" w:sz="0" w:space="0" w:color="auto"/>
                        <w:right w:val="none" w:sz="0" w:space="0" w:color="auto"/>
                      </w:divBdr>
                      <w:divsChild>
                        <w:div w:id="888608378">
                          <w:marLeft w:val="0"/>
                          <w:marRight w:val="0"/>
                          <w:marTop w:val="0"/>
                          <w:marBottom w:val="0"/>
                          <w:divBdr>
                            <w:top w:val="none" w:sz="0" w:space="0" w:color="auto"/>
                            <w:left w:val="none" w:sz="0" w:space="0" w:color="auto"/>
                            <w:bottom w:val="none" w:sz="0" w:space="0" w:color="auto"/>
                            <w:right w:val="none" w:sz="0" w:space="0" w:color="auto"/>
                          </w:divBdr>
                          <w:divsChild>
                            <w:div w:id="4425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29025">
      <w:bodyDiv w:val="1"/>
      <w:marLeft w:val="0"/>
      <w:marRight w:val="0"/>
      <w:marTop w:val="0"/>
      <w:marBottom w:val="0"/>
      <w:divBdr>
        <w:top w:val="none" w:sz="0" w:space="0" w:color="auto"/>
        <w:left w:val="none" w:sz="0" w:space="0" w:color="auto"/>
        <w:bottom w:val="none" w:sz="0" w:space="0" w:color="auto"/>
        <w:right w:val="none" w:sz="0" w:space="0" w:color="auto"/>
      </w:divBdr>
    </w:div>
    <w:div w:id="1992825956">
      <w:bodyDiv w:val="1"/>
      <w:marLeft w:val="0"/>
      <w:marRight w:val="0"/>
      <w:marTop w:val="0"/>
      <w:marBottom w:val="0"/>
      <w:divBdr>
        <w:top w:val="none" w:sz="0" w:space="0" w:color="auto"/>
        <w:left w:val="none" w:sz="0" w:space="0" w:color="auto"/>
        <w:bottom w:val="none" w:sz="0" w:space="0" w:color="auto"/>
        <w:right w:val="none" w:sz="0" w:space="0" w:color="auto"/>
      </w:divBdr>
      <w:divsChild>
        <w:div w:id="1892419607">
          <w:marLeft w:val="0"/>
          <w:marRight w:val="0"/>
          <w:marTop w:val="0"/>
          <w:marBottom w:val="0"/>
          <w:divBdr>
            <w:top w:val="none" w:sz="0" w:space="0" w:color="auto"/>
            <w:left w:val="none" w:sz="0" w:space="0" w:color="auto"/>
            <w:bottom w:val="none" w:sz="0" w:space="0" w:color="auto"/>
            <w:right w:val="none" w:sz="0" w:space="0" w:color="auto"/>
          </w:divBdr>
          <w:divsChild>
            <w:div w:id="1722710658">
              <w:marLeft w:val="0"/>
              <w:marRight w:val="0"/>
              <w:marTop w:val="0"/>
              <w:marBottom w:val="0"/>
              <w:divBdr>
                <w:top w:val="none" w:sz="0" w:space="0" w:color="auto"/>
                <w:left w:val="none" w:sz="0" w:space="0" w:color="auto"/>
                <w:bottom w:val="none" w:sz="0" w:space="0" w:color="auto"/>
                <w:right w:val="none" w:sz="0" w:space="0" w:color="auto"/>
              </w:divBdr>
              <w:divsChild>
                <w:div w:id="2084714132">
                  <w:marLeft w:val="0"/>
                  <w:marRight w:val="0"/>
                  <w:marTop w:val="0"/>
                  <w:marBottom w:val="0"/>
                  <w:divBdr>
                    <w:top w:val="none" w:sz="0" w:space="0" w:color="auto"/>
                    <w:left w:val="none" w:sz="0" w:space="0" w:color="auto"/>
                    <w:bottom w:val="none" w:sz="0" w:space="0" w:color="auto"/>
                    <w:right w:val="none" w:sz="0" w:space="0" w:color="auto"/>
                  </w:divBdr>
                  <w:divsChild>
                    <w:div w:id="6375796">
                      <w:marLeft w:val="0"/>
                      <w:marRight w:val="0"/>
                      <w:marTop w:val="0"/>
                      <w:marBottom w:val="0"/>
                      <w:divBdr>
                        <w:top w:val="none" w:sz="0" w:space="0" w:color="auto"/>
                        <w:left w:val="none" w:sz="0" w:space="0" w:color="auto"/>
                        <w:bottom w:val="none" w:sz="0" w:space="0" w:color="auto"/>
                        <w:right w:val="none" w:sz="0" w:space="0" w:color="auto"/>
                      </w:divBdr>
                      <w:divsChild>
                        <w:div w:id="894118618">
                          <w:marLeft w:val="0"/>
                          <w:marRight w:val="0"/>
                          <w:marTop w:val="0"/>
                          <w:marBottom w:val="0"/>
                          <w:divBdr>
                            <w:top w:val="none" w:sz="0" w:space="0" w:color="auto"/>
                            <w:left w:val="none" w:sz="0" w:space="0" w:color="auto"/>
                            <w:bottom w:val="none" w:sz="0" w:space="0" w:color="auto"/>
                            <w:right w:val="none" w:sz="0" w:space="0" w:color="auto"/>
                          </w:divBdr>
                          <w:divsChild>
                            <w:div w:id="952591081">
                              <w:marLeft w:val="0"/>
                              <w:marRight w:val="0"/>
                              <w:marTop w:val="0"/>
                              <w:marBottom w:val="0"/>
                              <w:divBdr>
                                <w:top w:val="none" w:sz="0" w:space="0" w:color="auto"/>
                                <w:left w:val="none" w:sz="0" w:space="0" w:color="auto"/>
                                <w:bottom w:val="none" w:sz="0" w:space="0" w:color="auto"/>
                                <w:right w:val="none" w:sz="0" w:space="0" w:color="auto"/>
                              </w:divBdr>
                              <w:divsChild>
                                <w:div w:id="8969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2594">
      <w:bodyDiv w:val="1"/>
      <w:marLeft w:val="0"/>
      <w:marRight w:val="0"/>
      <w:marTop w:val="0"/>
      <w:marBottom w:val="0"/>
      <w:divBdr>
        <w:top w:val="none" w:sz="0" w:space="0" w:color="auto"/>
        <w:left w:val="none" w:sz="0" w:space="0" w:color="auto"/>
        <w:bottom w:val="none" w:sz="0" w:space="0" w:color="auto"/>
        <w:right w:val="none" w:sz="0" w:space="0" w:color="auto"/>
      </w:divBdr>
    </w:div>
    <w:div w:id="2008944847">
      <w:marLeft w:val="0"/>
      <w:marRight w:val="0"/>
      <w:marTop w:val="0"/>
      <w:marBottom w:val="0"/>
      <w:divBdr>
        <w:top w:val="none" w:sz="0" w:space="0" w:color="auto"/>
        <w:left w:val="none" w:sz="0" w:space="0" w:color="auto"/>
        <w:bottom w:val="none" w:sz="0" w:space="0" w:color="auto"/>
        <w:right w:val="none" w:sz="0" w:space="0" w:color="auto"/>
      </w:divBdr>
      <w:divsChild>
        <w:div w:id="1501699812">
          <w:marLeft w:val="0"/>
          <w:marRight w:val="0"/>
          <w:marTop w:val="0"/>
          <w:marBottom w:val="0"/>
          <w:divBdr>
            <w:top w:val="none" w:sz="0" w:space="0" w:color="auto"/>
            <w:left w:val="none" w:sz="0" w:space="0" w:color="auto"/>
            <w:bottom w:val="none" w:sz="0" w:space="0" w:color="auto"/>
            <w:right w:val="none" w:sz="0" w:space="0" w:color="auto"/>
          </w:divBdr>
          <w:divsChild>
            <w:div w:id="1544362211">
              <w:marLeft w:val="0"/>
              <w:marRight w:val="0"/>
              <w:marTop w:val="0"/>
              <w:marBottom w:val="0"/>
              <w:divBdr>
                <w:top w:val="none" w:sz="0" w:space="0" w:color="auto"/>
                <w:left w:val="none" w:sz="0" w:space="0" w:color="auto"/>
                <w:bottom w:val="none" w:sz="0" w:space="0" w:color="auto"/>
                <w:right w:val="none" w:sz="0" w:space="0" w:color="auto"/>
              </w:divBdr>
            </w:div>
          </w:divsChild>
        </w:div>
        <w:div w:id="2116703828">
          <w:marLeft w:val="0"/>
          <w:marRight w:val="0"/>
          <w:marTop w:val="0"/>
          <w:marBottom w:val="0"/>
          <w:divBdr>
            <w:top w:val="none" w:sz="0" w:space="0" w:color="auto"/>
            <w:left w:val="none" w:sz="0" w:space="0" w:color="auto"/>
            <w:bottom w:val="none" w:sz="0" w:space="0" w:color="auto"/>
            <w:right w:val="none" w:sz="0" w:space="0" w:color="auto"/>
          </w:divBdr>
          <w:divsChild>
            <w:div w:id="258370054">
              <w:marLeft w:val="0"/>
              <w:marRight w:val="0"/>
              <w:marTop w:val="0"/>
              <w:marBottom w:val="0"/>
              <w:divBdr>
                <w:top w:val="none" w:sz="0" w:space="0" w:color="auto"/>
                <w:left w:val="none" w:sz="0" w:space="0" w:color="auto"/>
                <w:bottom w:val="none" w:sz="0" w:space="0" w:color="auto"/>
                <w:right w:val="none" w:sz="0" w:space="0" w:color="auto"/>
              </w:divBdr>
              <w:divsChild>
                <w:div w:id="726685839">
                  <w:marLeft w:val="0"/>
                  <w:marRight w:val="0"/>
                  <w:marTop w:val="0"/>
                  <w:marBottom w:val="0"/>
                  <w:divBdr>
                    <w:top w:val="none" w:sz="0" w:space="0" w:color="auto"/>
                    <w:left w:val="none" w:sz="0" w:space="0" w:color="auto"/>
                    <w:bottom w:val="none" w:sz="0" w:space="0" w:color="auto"/>
                    <w:right w:val="none" w:sz="0" w:space="0" w:color="auto"/>
                  </w:divBdr>
                  <w:divsChild>
                    <w:div w:id="15551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623139">
      <w:bodyDiv w:val="1"/>
      <w:marLeft w:val="0"/>
      <w:marRight w:val="0"/>
      <w:marTop w:val="0"/>
      <w:marBottom w:val="0"/>
      <w:divBdr>
        <w:top w:val="none" w:sz="0" w:space="0" w:color="auto"/>
        <w:left w:val="none" w:sz="0" w:space="0" w:color="auto"/>
        <w:bottom w:val="none" w:sz="0" w:space="0" w:color="auto"/>
        <w:right w:val="none" w:sz="0" w:space="0" w:color="auto"/>
      </w:divBdr>
      <w:divsChild>
        <w:div w:id="152533400">
          <w:marLeft w:val="0"/>
          <w:marRight w:val="0"/>
          <w:marTop w:val="0"/>
          <w:marBottom w:val="0"/>
          <w:divBdr>
            <w:top w:val="none" w:sz="0" w:space="0" w:color="auto"/>
            <w:left w:val="none" w:sz="0" w:space="0" w:color="auto"/>
            <w:bottom w:val="none" w:sz="0" w:space="0" w:color="auto"/>
            <w:right w:val="none" w:sz="0" w:space="0" w:color="auto"/>
          </w:divBdr>
          <w:divsChild>
            <w:div w:id="14592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3371">
      <w:bodyDiv w:val="1"/>
      <w:marLeft w:val="0"/>
      <w:marRight w:val="0"/>
      <w:marTop w:val="0"/>
      <w:marBottom w:val="0"/>
      <w:divBdr>
        <w:top w:val="none" w:sz="0" w:space="0" w:color="auto"/>
        <w:left w:val="none" w:sz="0" w:space="0" w:color="auto"/>
        <w:bottom w:val="none" w:sz="0" w:space="0" w:color="auto"/>
        <w:right w:val="none" w:sz="0" w:space="0" w:color="auto"/>
      </w:divBdr>
    </w:div>
    <w:div w:id="2025394813">
      <w:bodyDiv w:val="1"/>
      <w:marLeft w:val="0"/>
      <w:marRight w:val="0"/>
      <w:marTop w:val="0"/>
      <w:marBottom w:val="0"/>
      <w:divBdr>
        <w:top w:val="none" w:sz="0" w:space="0" w:color="auto"/>
        <w:left w:val="none" w:sz="0" w:space="0" w:color="auto"/>
        <w:bottom w:val="none" w:sz="0" w:space="0" w:color="auto"/>
        <w:right w:val="none" w:sz="0" w:space="0" w:color="auto"/>
      </w:divBdr>
    </w:div>
    <w:div w:id="2026129856">
      <w:bodyDiv w:val="1"/>
      <w:marLeft w:val="0"/>
      <w:marRight w:val="0"/>
      <w:marTop w:val="0"/>
      <w:marBottom w:val="0"/>
      <w:divBdr>
        <w:top w:val="none" w:sz="0" w:space="0" w:color="auto"/>
        <w:left w:val="none" w:sz="0" w:space="0" w:color="auto"/>
        <w:bottom w:val="none" w:sz="0" w:space="0" w:color="auto"/>
        <w:right w:val="none" w:sz="0" w:space="0" w:color="auto"/>
      </w:divBdr>
    </w:div>
    <w:div w:id="2029595532">
      <w:bodyDiv w:val="1"/>
      <w:marLeft w:val="0"/>
      <w:marRight w:val="0"/>
      <w:marTop w:val="0"/>
      <w:marBottom w:val="0"/>
      <w:divBdr>
        <w:top w:val="none" w:sz="0" w:space="0" w:color="auto"/>
        <w:left w:val="none" w:sz="0" w:space="0" w:color="auto"/>
        <w:bottom w:val="none" w:sz="0" w:space="0" w:color="auto"/>
        <w:right w:val="none" w:sz="0" w:space="0" w:color="auto"/>
      </w:divBdr>
      <w:divsChild>
        <w:div w:id="304357109">
          <w:marLeft w:val="0"/>
          <w:marRight w:val="0"/>
          <w:marTop w:val="0"/>
          <w:marBottom w:val="0"/>
          <w:divBdr>
            <w:top w:val="none" w:sz="0" w:space="0" w:color="auto"/>
            <w:left w:val="none" w:sz="0" w:space="0" w:color="auto"/>
            <w:bottom w:val="none" w:sz="0" w:space="0" w:color="auto"/>
            <w:right w:val="none" w:sz="0" w:space="0" w:color="auto"/>
          </w:divBdr>
          <w:divsChild>
            <w:div w:id="12815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38247">
      <w:bodyDiv w:val="1"/>
      <w:marLeft w:val="0"/>
      <w:marRight w:val="0"/>
      <w:marTop w:val="0"/>
      <w:marBottom w:val="0"/>
      <w:divBdr>
        <w:top w:val="none" w:sz="0" w:space="0" w:color="auto"/>
        <w:left w:val="none" w:sz="0" w:space="0" w:color="auto"/>
        <w:bottom w:val="none" w:sz="0" w:space="0" w:color="auto"/>
        <w:right w:val="none" w:sz="0" w:space="0" w:color="auto"/>
      </w:divBdr>
      <w:divsChild>
        <w:div w:id="2075660496">
          <w:marLeft w:val="0"/>
          <w:marRight w:val="0"/>
          <w:marTop w:val="0"/>
          <w:marBottom w:val="0"/>
          <w:divBdr>
            <w:top w:val="none" w:sz="0" w:space="0" w:color="auto"/>
            <w:left w:val="none" w:sz="0" w:space="0" w:color="auto"/>
            <w:bottom w:val="none" w:sz="0" w:space="0" w:color="auto"/>
            <w:right w:val="none" w:sz="0" w:space="0" w:color="auto"/>
          </w:divBdr>
        </w:div>
      </w:divsChild>
    </w:div>
    <w:div w:id="2056420378">
      <w:bodyDiv w:val="1"/>
      <w:marLeft w:val="0"/>
      <w:marRight w:val="0"/>
      <w:marTop w:val="0"/>
      <w:marBottom w:val="0"/>
      <w:divBdr>
        <w:top w:val="none" w:sz="0" w:space="0" w:color="auto"/>
        <w:left w:val="none" w:sz="0" w:space="0" w:color="auto"/>
        <w:bottom w:val="none" w:sz="0" w:space="0" w:color="auto"/>
        <w:right w:val="none" w:sz="0" w:space="0" w:color="auto"/>
      </w:divBdr>
      <w:divsChild>
        <w:div w:id="846141468">
          <w:marLeft w:val="0"/>
          <w:marRight w:val="0"/>
          <w:marTop w:val="0"/>
          <w:marBottom w:val="0"/>
          <w:divBdr>
            <w:top w:val="none" w:sz="0" w:space="0" w:color="auto"/>
            <w:left w:val="none" w:sz="0" w:space="0" w:color="auto"/>
            <w:bottom w:val="none" w:sz="0" w:space="0" w:color="auto"/>
            <w:right w:val="none" w:sz="0" w:space="0" w:color="auto"/>
          </w:divBdr>
          <w:divsChild>
            <w:div w:id="8901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8211">
      <w:bodyDiv w:val="1"/>
      <w:marLeft w:val="0"/>
      <w:marRight w:val="0"/>
      <w:marTop w:val="0"/>
      <w:marBottom w:val="0"/>
      <w:divBdr>
        <w:top w:val="none" w:sz="0" w:space="0" w:color="auto"/>
        <w:left w:val="none" w:sz="0" w:space="0" w:color="auto"/>
        <w:bottom w:val="none" w:sz="0" w:space="0" w:color="auto"/>
        <w:right w:val="none" w:sz="0" w:space="0" w:color="auto"/>
      </w:divBdr>
    </w:div>
    <w:div w:id="2068332883">
      <w:bodyDiv w:val="1"/>
      <w:marLeft w:val="0"/>
      <w:marRight w:val="0"/>
      <w:marTop w:val="0"/>
      <w:marBottom w:val="0"/>
      <w:divBdr>
        <w:top w:val="none" w:sz="0" w:space="0" w:color="auto"/>
        <w:left w:val="none" w:sz="0" w:space="0" w:color="auto"/>
        <w:bottom w:val="none" w:sz="0" w:space="0" w:color="auto"/>
        <w:right w:val="none" w:sz="0" w:space="0" w:color="auto"/>
      </w:divBdr>
    </w:div>
    <w:div w:id="2079666861">
      <w:bodyDiv w:val="1"/>
      <w:marLeft w:val="0"/>
      <w:marRight w:val="0"/>
      <w:marTop w:val="0"/>
      <w:marBottom w:val="0"/>
      <w:divBdr>
        <w:top w:val="none" w:sz="0" w:space="0" w:color="auto"/>
        <w:left w:val="none" w:sz="0" w:space="0" w:color="auto"/>
        <w:bottom w:val="none" w:sz="0" w:space="0" w:color="auto"/>
        <w:right w:val="none" w:sz="0" w:space="0" w:color="auto"/>
      </w:divBdr>
    </w:div>
    <w:div w:id="2081753326">
      <w:marLeft w:val="0"/>
      <w:marRight w:val="0"/>
      <w:marTop w:val="0"/>
      <w:marBottom w:val="0"/>
      <w:divBdr>
        <w:top w:val="none" w:sz="0" w:space="0" w:color="auto"/>
        <w:left w:val="none" w:sz="0" w:space="0" w:color="auto"/>
        <w:bottom w:val="none" w:sz="0" w:space="0" w:color="auto"/>
        <w:right w:val="none" w:sz="0" w:space="0" w:color="auto"/>
      </w:divBdr>
      <w:divsChild>
        <w:div w:id="1704407301">
          <w:marLeft w:val="0"/>
          <w:marRight w:val="0"/>
          <w:marTop w:val="0"/>
          <w:marBottom w:val="0"/>
          <w:divBdr>
            <w:top w:val="none" w:sz="0" w:space="0" w:color="auto"/>
            <w:left w:val="none" w:sz="0" w:space="0" w:color="auto"/>
            <w:bottom w:val="none" w:sz="0" w:space="0" w:color="auto"/>
            <w:right w:val="none" w:sz="0" w:space="0" w:color="auto"/>
          </w:divBdr>
        </w:div>
        <w:div w:id="502009949">
          <w:marLeft w:val="0"/>
          <w:marRight w:val="0"/>
          <w:marTop w:val="0"/>
          <w:marBottom w:val="0"/>
          <w:divBdr>
            <w:top w:val="none" w:sz="0" w:space="0" w:color="auto"/>
            <w:left w:val="none" w:sz="0" w:space="0" w:color="auto"/>
            <w:bottom w:val="none" w:sz="0" w:space="0" w:color="auto"/>
            <w:right w:val="none" w:sz="0" w:space="0" w:color="auto"/>
          </w:divBdr>
        </w:div>
        <w:div w:id="1180318283">
          <w:marLeft w:val="0"/>
          <w:marRight w:val="0"/>
          <w:marTop w:val="0"/>
          <w:marBottom w:val="0"/>
          <w:divBdr>
            <w:top w:val="none" w:sz="0" w:space="0" w:color="auto"/>
            <w:left w:val="none" w:sz="0" w:space="0" w:color="auto"/>
            <w:bottom w:val="none" w:sz="0" w:space="0" w:color="auto"/>
            <w:right w:val="none" w:sz="0" w:space="0" w:color="auto"/>
          </w:divBdr>
        </w:div>
        <w:div w:id="139225746">
          <w:marLeft w:val="0"/>
          <w:marRight w:val="0"/>
          <w:marTop w:val="0"/>
          <w:marBottom w:val="0"/>
          <w:divBdr>
            <w:top w:val="none" w:sz="0" w:space="0" w:color="auto"/>
            <w:left w:val="none" w:sz="0" w:space="0" w:color="auto"/>
            <w:bottom w:val="none" w:sz="0" w:space="0" w:color="auto"/>
            <w:right w:val="none" w:sz="0" w:space="0" w:color="auto"/>
          </w:divBdr>
          <w:divsChild>
            <w:div w:id="862716822">
              <w:marLeft w:val="0"/>
              <w:marRight w:val="0"/>
              <w:marTop w:val="0"/>
              <w:marBottom w:val="0"/>
              <w:divBdr>
                <w:top w:val="none" w:sz="0" w:space="0" w:color="auto"/>
                <w:left w:val="none" w:sz="0" w:space="0" w:color="auto"/>
                <w:bottom w:val="none" w:sz="0" w:space="0" w:color="auto"/>
                <w:right w:val="none" w:sz="0" w:space="0" w:color="auto"/>
              </w:divBdr>
              <w:divsChild>
                <w:div w:id="1939824684">
                  <w:marLeft w:val="0"/>
                  <w:marRight w:val="0"/>
                  <w:marTop w:val="0"/>
                  <w:marBottom w:val="0"/>
                  <w:divBdr>
                    <w:top w:val="none" w:sz="0" w:space="0" w:color="auto"/>
                    <w:left w:val="none" w:sz="0" w:space="0" w:color="auto"/>
                    <w:bottom w:val="none" w:sz="0" w:space="0" w:color="auto"/>
                    <w:right w:val="none" w:sz="0" w:space="0" w:color="auto"/>
                  </w:divBdr>
                </w:div>
                <w:div w:id="56468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5421">
          <w:marLeft w:val="0"/>
          <w:marRight w:val="0"/>
          <w:marTop w:val="0"/>
          <w:marBottom w:val="0"/>
          <w:divBdr>
            <w:top w:val="none" w:sz="0" w:space="0" w:color="auto"/>
            <w:left w:val="none" w:sz="0" w:space="0" w:color="auto"/>
            <w:bottom w:val="none" w:sz="0" w:space="0" w:color="auto"/>
            <w:right w:val="none" w:sz="0" w:space="0" w:color="auto"/>
          </w:divBdr>
          <w:divsChild>
            <w:div w:id="1156414788">
              <w:marLeft w:val="0"/>
              <w:marRight w:val="0"/>
              <w:marTop w:val="0"/>
              <w:marBottom w:val="0"/>
              <w:divBdr>
                <w:top w:val="none" w:sz="0" w:space="0" w:color="auto"/>
                <w:left w:val="none" w:sz="0" w:space="0" w:color="auto"/>
                <w:bottom w:val="none" w:sz="0" w:space="0" w:color="auto"/>
                <w:right w:val="none" w:sz="0" w:space="0" w:color="auto"/>
              </w:divBdr>
              <w:divsChild>
                <w:div w:id="14616242">
                  <w:marLeft w:val="0"/>
                  <w:marRight w:val="0"/>
                  <w:marTop w:val="0"/>
                  <w:marBottom w:val="0"/>
                  <w:divBdr>
                    <w:top w:val="none" w:sz="0" w:space="0" w:color="auto"/>
                    <w:left w:val="none" w:sz="0" w:space="0" w:color="auto"/>
                    <w:bottom w:val="none" w:sz="0" w:space="0" w:color="auto"/>
                    <w:right w:val="none" w:sz="0" w:space="0" w:color="auto"/>
                  </w:divBdr>
                </w:div>
                <w:div w:id="1685748618">
                  <w:marLeft w:val="0"/>
                  <w:marRight w:val="0"/>
                  <w:marTop w:val="0"/>
                  <w:marBottom w:val="0"/>
                  <w:divBdr>
                    <w:top w:val="none" w:sz="0" w:space="0" w:color="auto"/>
                    <w:left w:val="none" w:sz="0" w:space="0" w:color="auto"/>
                    <w:bottom w:val="none" w:sz="0" w:space="0" w:color="auto"/>
                    <w:right w:val="none" w:sz="0" w:space="0" w:color="auto"/>
                  </w:divBdr>
                </w:div>
                <w:div w:id="20376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42677">
          <w:marLeft w:val="0"/>
          <w:marRight w:val="0"/>
          <w:marTop w:val="0"/>
          <w:marBottom w:val="0"/>
          <w:divBdr>
            <w:top w:val="none" w:sz="0" w:space="0" w:color="auto"/>
            <w:left w:val="none" w:sz="0" w:space="0" w:color="auto"/>
            <w:bottom w:val="none" w:sz="0" w:space="0" w:color="auto"/>
            <w:right w:val="none" w:sz="0" w:space="0" w:color="auto"/>
          </w:divBdr>
          <w:divsChild>
            <w:div w:id="1205143853">
              <w:marLeft w:val="0"/>
              <w:marRight w:val="0"/>
              <w:marTop w:val="0"/>
              <w:marBottom w:val="0"/>
              <w:divBdr>
                <w:top w:val="none" w:sz="0" w:space="0" w:color="auto"/>
                <w:left w:val="none" w:sz="0" w:space="0" w:color="auto"/>
                <w:bottom w:val="none" w:sz="0" w:space="0" w:color="auto"/>
                <w:right w:val="none" w:sz="0" w:space="0" w:color="auto"/>
              </w:divBdr>
              <w:divsChild>
                <w:div w:id="1126854907">
                  <w:marLeft w:val="0"/>
                  <w:marRight w:val="0"/>
                  <w:marTop w:val="0"/>
                  <w:marBottom w:val="0"/>
                  <w:divBdr>
                    <w:top w:val="none" w:sz="0" w:space="0" w:color="auto"/>
                    <w:left w:val="none" w:sz="0" w:space="0" w:color="auto"/>
                    <w:bottom w:val="none" w:sz="0" w:space="0" w:color="auto"/>
                    <w:right w:val="none" w:sz="0" w:space="0" w:color="auto"/>
                  </w:divBdr>
                </w:div>
                <w:div w:id="1425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8361">
      <w:bodyDiv w:val="1"/>
      <w:marLeft w:val="0"/>
      <w:marRight w:val="0"/>
      <w:marTop w:val="0"/>
      <w:marBottom w:val="0"/>
      <w:divBdr>
        <w:top w:val="none" w:sz="0" w:space="0" w:color="auto"/>
        <w:left w:val="none" w:sz="0" w:space="0" w:color="auto"/>
        <w:bottom w:val="none" w:sz="0" w:space="0" w:color="auto"/>
        <w:right w:val="none" w:sz="0" w:space="0" w:color="auto"/>
      </w:divBdr>
    </w:div>
    <w:div w:id="2104951595">
      <w:bodyDiv w:val="1"/>
      <w:marLeft w:val="0"/>
      <w:marRight w:val="0"/>
      <w:marTop w:val="0"/>
      <w:marBottom w:val="0"/>
      <w:divBdr>
        <w:top w:val="none" w:sz="0" w:space="0" w:color="auto"/>
        <w:left w:val="none" w:sz="0" w:space="0" w:color="auto"/>
        <w:bottom w:val="none" w:sz="0" w:space="0" w:color="auto"/>
        <w:right w:val="none" w:sz="0" w:space="0" w:color="auto"/>
      </w:divBdr>
      <w:divsChild>
        <w:div w:id="44255584">
          <w:marLeft w:val="0"/>
          <w:marRight w:val="0"/>
          <w:marTop w:val="0"/>
          <w:marBottom w:val="0"/>
          <w:divBdr>
            <w:top w:val="none" w:sz="0" w:space="0" w:color="auto"/>
            <w:left w:val="none" w:sz="0" w:space="0" w:color="auto"/>
            <w:bottom w:val="none" w:sz="0" w:space="0" w:color="auto"/>
            <w:right w:val="none" w:sz="0" w:space="0" w:color="auto"/>
          </w:divBdr>
          <w:divsChild>
            <w:div w:id="1207566676">
              <w:marLeft w:val="-225"/>
              <w:marRight w:val="-225"/>
              <w:marTop w:val="0"/>
              <w:marBottom w:val="0"/>
              <w:divBdr>
                <w:top w:val="none" w:sz="0" w:space="0" w:color="auto"/>
                <w:left w:val="none" w:sz="0" w:space="0" w:color="auto"/>
                <w:bottom w:val="none" w:sz="0" w:space="0" w:color="auto"/>
                <w:right w:val="none" w:sz="0" w:space="0" w:color="auto"/>
              </w:divBdr>
              <w:divsChild>
                <w:div w:id="1565137380">
                  <w:marLeft w:val="0"/>
                  <w:marRight w:val="0"/>
                  <w:marTop w:val="0"/>
                  <w:marBottom w:val="0"/>
                  <w:divBdr>
                    <w:top w:val="none" w:sz="0" w:space="0" w:color="auto"/>
                    <w:left w:val="none" w:sz="0" w:space="0" w:color="auto"/>
                    <w:bottom w:val="none" w:sz="0" w:space="0" w:color="auto"/>
                    <w:right w:val="none" w:sz="0" w:space="0" w:color="auto"/>
                  </w:divBdr>
                  <w:divsChild>
                    <w:div w:id="866482137">
                      <w:marLeft w:val="-225"/>
                      <w:marRight w:val="-225"/>
                      <w:marTop w:val="0"/>
                      <w:marBottom w:val="0"/>
                      <w:divBdr>
                        <w:top w:val="none" w:sz="0" w:space="0" w:color="auto"/>
                        <w:left w:val="none" w:sz="0" w:space="0" w:color="auto"/>
                        <w:bottom w:val="none" w:sz="0" w:space="0" w:color="auto"/>
                        <w:right w:val="none" w:sz="0" w:space="0" w:color="auto"/>
                      </w:divBdr>
                      <w:divsChild>
                        <w:div w:id="10774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01558">
      <w:bodyDiv w:val="1"/>
      <w:marLeft w:val="0"/>
      <w:marRight w:val="0"/>
      <w:marTop w:val="0"/>
      <w:marBottom w:val="0"/>
      <w:divBdr>
        <w:top w:val="none" w:sz="0" w:space="0" w:color="auto"/>
        <w:left w:val="none" w:sz="0" w:space="0" w:color="auto"/>
        <w:bottom w:val="none" w:sz="0" w:space="0" w:color="auto"/>
        <w:right w:val="none" w:sz="0" w:space="0" w:color="auto"/>
      </w:divBdr>
      <w:divsChild>
        <w:div w:id="351762193">
          <w:marLeft w:val="0"/>
          <w:marRight w:val="0"/>
          <w:marTop w:val="0"/>
          <w:marBottom w:val="0"/>
          <w:divBdr>
            <w:top w:val="none" w:sz="0" w:space="0" w:color="auto"/>
            <w:left w:val="none" w:sz="0" w:space="0" w:color="auto"/>
            <w:bottom w:val="none" w:sz="0" w:space="0" w:color="auto"/>
            <w:right w:val="none" w:sz="0" w:space="0" w:color="auto"/>
          </w:divBdr>
          <w:divsChild>
            <w:div w:id="1364478291">
              <w:marLeft w:val="0"/>
              <w:marRight w:val="0"/>
              <w:marTop w:val="0"/>
              <w:marBottom w:val="0"/>
              <w:divBdr>
                <w:top w:val="none" w:sz="0" w:space="0" w:color="auto"/>
                <w:left w:val="none" w:sz="0" w:space="0" w:color="auto"/>
                <w:bottom w:val="none" w:sz="0" w:space="0" w:color="auto"/>
                <w:right w:val="none" w:sz="0" w:space="0" w:color="auto"/>
              </w:divBdr>
              <w:divsChild>
                <w:div w:id="1618681136">
                  <w:marLeft w:val="0"/>
                  <w:marRight w:val="0"/>
                  <w:marTop w:val="0"/>
                  <w:marBottom w:val="0"/>
                  <w:divBdr>
                    <w:top w:val="none" w:sz="0" w:space="0" w:color="auto"/>
                    <w:left w:val="none" w:sz="0" w:space="0" w:color="auto"/>
                    <w:bottom w:val="none" w:sz="0" w:space="0" w:color="auto"/>
                    <w:right w:val="none" w:sz="0" w:space="0" w:color="auto"/>
                  </w:divBdr>
                  <w:divsChild>
                    <w:div w:id="97264908">
                      <w:marLeft w:val="0"/>
                      <w:marRight w:val="0"/>
                      <w:marTop w:val="0"/>
                      <w:marBottom w:val="0"/>
                      <w:divBdr>
                        <w:top w:val="none" w:sz="0" w:space="0" w:color="auto"/>
                        <w:left w:val="none" w:sz="0" w:space="0" w:color="auto"/>
                        <w:bottom w:val="none" w:sz="0" w:space="0" w:color="auto"/>
                        <w:right w:val="none" w:sz="0" w:space="0" w:color="auto"/>
                      </w:divBdr>
                      <w:divsChild>
                        <w:div w:id="1949583252">
                          <w:marLeft w:val="0"/>
                          <w:marRight w:val="0"/>
                          <w:marTop w:val="0"/>
                          <w:marBottom w:val="0"/>
                          <w:divBdr>
                            <w:top w:val="none" w:sz="0" w:space="0" w:color="auto"/>
                            <w:left w:val="none" w:sz="0" w:space="0" w:color="auto"/>
                            <w:bottom w:val="none" w:sz="0" w:space="0" w:color="auto"/>
                            <w:right w:val="none" w:sz="0" w:space="0" w:color="auto"/>
                          </w:divBdr>
                          <w:divsChild>
                            <w:div w:id="113136862">
                              <w:marLeft w:val="0"/>
                              <w:marRight w:val="0"/>
                              <w:marTop w:val="0"/>
                              <w:marBottom w:val="0"/>
                              <w:divBdr>
                                <w:top w:val="none" w:sz="0" w:space="0" w:color="auto"/>
                                <w:left w:val="none" w:sz="0" w:space="0" w:color="auto"/>
                                <w:bottom w:val="none" w:sz="0" w:space="0" w:color="auto"/>
                                <w:right w:val="none" w:sz="0" w:space="0" w:color="auto"/>
                              </w:divBdr>
                              <w:divsChild>
                                <w:div w:id="15199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263911">
      <w:bodyDiv w:val="1"/>
      <w:marLeft w:val="0"/>
      <w:marRight w:val="0"/>
      <w:marTop w:val="0"/>
      <w:marBottom w:val="0"/>
      <w:divBdr>
        <w:top w:val="none" w:sz="0" w:space="0" w:color="auto"/>
        <w:left w:val="none" w:sz="0" w:space="0" w:color="auto"/>
        <w:bottom w:val="none" w:sz="0" w:space="0" w:color="auto"/>
        <w:right w:val="none" w:sz="0" w:space="0" w:color="auto"/>
      </w:divBdr>
    </w:div>
    <w:div w:id="2126268797">
      <w:bodyDiv w:val="1"/>
      <w:marLeft w:val="0"/>
      <w:marRight w:val="0"/>
      <w:marTop w:val="0"/>
      <w:marBottom w:val="0"/>
      <w:divBdr>
        <w:top w:val="none" w:sz="0" w:space="0" w:color="auto"/>
        <w:left w:val="none" w:sz="0" w:space="0" w:color="auto"/>
        <w:bottom w:val="none" w:sz="0" w:space="0" w:color="auto"/>
        <w:right w:val="none" w:sz="0" w:space="0" w:color="auto"/>
      </w:divBdr>
      <w:divsChild>
        <w:div w:id="106051773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sumerfinance.gov/about-us/blog/complaint-snapshot-analysis-debt-collection-complaints/" TargetMode="External"/><Relationship Id="rId18" Type="http://schemas.openxmlformats.org/officeDocument/2006/relationships/hyperlink" Target="https://www.occ.gov/news-issuances/bulletins/2018/bulletin-2018-17.html" TargetMode="External"/><Relationship Id="rId26" Type="http://schemas.openxmlformats.org/officeDocument/2006/relationships/hyperlink" Target="https://www.fincen.gov/sites/default/files/advisory/2018-06-12/PEP%20Facilitator%20Advisory_FINAL%20508.pdf" TargetMode="External"/><Relationship Id="rId39" Type="http://schemas.openxmlformats.org/officeDocument/2006/relationships/hyperlink" Target="http://www.consumerfinance.gov/policy-compliance/guidance/implementation-guidance/prepaid-rule/" TargetMode="External"/><Relationship Id="rId21" Type="http://schemas.openxmlformats.org/officeDocument/2006/relationships/hyperlink" Target="https://www.occ.treas.gov/news-issuances/bulletins/2018/bulletin-2018-14.html" TargetMode="External"/><Relationship Id="rId34" Type="http://schemas.openxmlformats.org/officeDocument/2006/relationships/hyperlink" Target="https://www.regulations.gov/document?D=OCC-2017-0012-0034" TargetMode="External"/><Relationship Id="rId42" Type="http://schemas.openxmlformats.org/officeDocument/2006/relationships/hyperlink" Target="http://www.law.cornell.edu/topn/credit_card_accountability_responsibility_and_disclosure_act_of_2009" TargetMode="External"/><Relationship Id="rId47" Type="http://schemas.openxmlformats.org/officeDocument/2006/relationships/hyperlink" Target="https://www.ffiec.gov/bsa_aml_infobase/pages_manual/olm_017.htm" TargetMode="External"/><Relationship Id="rId50" Type="http://schemas.openxmlformats.org/officeDocument/2006/relationships/hyperlink" Target="https://www.fdic.gov/" TargetMode="External"/><Relationship Id="rId55" Type="http://schemas.openxmlformats.org/officeDocument/2006/relationships/hyperlink" Target="http://portal.hud.gov/hudportal/HUD?src=/federal_housing_administration" TargetMode="External"/><Relationship Id="rId63" Type="http://schemas.openxmlformats.org/officeDocument/2006/relationships/hyperlink" Target="https://www.hmpadmin.com/portal/programs/hamp.jsp" TargetMode="External"/><Relationship Id="rId68" Type="http://schemas.openxmlformats.org/officeDocument/2006/relationships/hyperlink" Target="https://www.irs.gov/" TargetMode="External"/><Relationship Id="rId76" Type="http://schemas.openxmlformats.org/officeDocument/2006/relationships/hyperlink" Target="https://www.consumerfinance.gov/eregulations/1030" TargetMode="External"/><Relationship Id="rId84" Type="http://schemas.openxmlformats.org/officeDocument/2006/relationships/hyperlink" Target="https://www.consumerfinance.gov/eregulations/1026"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occ.gov/" TargetMode="External"/><Relationship Id="rId2" Type="http://schemas.openxmlformats.org/officeDocument/2006/relationships/numbering" Target="numbering.xml"/><Relationship Id="rId16" Type="http://schemas.openxmlformats.org/officeDocument/2006/relationships/hyperlink" Target="https://content.govdelivery.com/accounts/USFDIC/bulletins/1f1cf01" TargetMode="External"/><Relationship Id="rId29" Type="http://schemas.openxmlformats.org/officeDocument/2006/relationships/hyperlink" Target="https://www.federalreserve.gov/newsevents/speech/brainard20180531a.htm" TargetMode="External"/><Relationship Id="rId11" Type="http://schemas.openxmlformats.org/officeDocument/2006/relationships/image" Target="media/image3.png"/><Relationship Id="rId24" Type="http://schemas.openxmlformats.org/officeDocument/2006/relationships/hyperlink" Target="http://www.federalreserve.gov/data/mortoutstand/current.htm" TargetMode="External"/><Relationship Id="rId32" Type="http://schemas.openxmlformats.org/officeDocument/2006/relationships/hyperlink" Target="https://www.federalreserve.gov/newsevents/pressreleases/other20180522a.htm" TargetMode="External"/><Relationship Id="rId37" Type="http://schemas.openxmlformats.org/officeDocument/2006/relationships/hyperlink" Target="https://www.federalreserve.gov/newsevents/pressreleases/files/bcreg20170531a1.pdf" TargetMode="External"/><Relationship Id="rId40" Type="http://schemas.openxmlformats.org/officeDocument/2006/relationships/footer" Target="footer1.xml"/><Relationship Id="rId45" Type="http://schemas.openxmlformats.org/officeDocument/2006/relationships/hyperlink" Target="http://www.ffiec.gov/cra/" TargetMode="External"/><Relationship Id="rId53" Type="http://schemas.openxmlformats.org/officeDocument/2006/relationships/hyperlink" Target="http://www.ffiec.gov/" TargetMode="External"/><Relationship Id="rId58" Type="http://schemas.openxmlformats.org/officeDocument/2006/relationships/hyperlink" Target="http://www.federalreserve.gov/" TargetMode="External"/><Relationship Id="rId66" Type="http://schemas.openxmlformats.org/officeDocument/2006/relationships/hyperlink" Target="https://www.consumerfinance.gov/ask-cfpb/what-is-a-higher-priced-mortgage-loan-en-1797/" TargetMode="External"/><Relationship Id="rId74" Type="http://schemas.openxmlformats.org/officeDocument/2006/relationships/hyperlink" Target="https://www.consumerfinance.gov/eregulations/1002" TargetMode="External"/><Relationship Id="rId79" Type="http://schemas.openxmlformats.org/officeDocument/2006/relationships/hyperlink" Target="https://www.ecfr.gov/cgi-bin/text-idx?c=ecfr&amp;tpl=/ecfrbrowse/Title12/12cfr1016_main_02.tpl" TargetMode="External"/><Relationship Id="rId87"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hyperlink" Target="http://www.gao.gov" TargetMode="External"/><Relationship Id="rId82" Type="http://schemas.openxmlformats.org/officeDocument/2006/relationships/hyperlink" Target="https://www.consumerfinance.gov/eregulations/1024" TargetMode="External"/><Relationship Id="rId19" Type="http://schemas.openxmlformats.org/officeDocument/2006/relationships/hyperlink" Target="https://www.occ.treas.gov/news-issuances/news-releases/2018/nr-occ-2018-61.htm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fdic.gov/education" TargetMode="External"/><Relationship Id="rId22" Type="http://schemas.openxmlformats.org/officeDocument/2006/relationships/hyperlink" Target="https://www.occ.treas.gov/news-issuances/news-releases/2018/nr-occ-2018-51.html" TargetMode="External"/><Relationship Id="rId27" Type="http://schemas.openxmlformats.org/officeDocument/2006/relationships/hyperlink" Target="https://www.justice.gov/opa/pr/74-arrested-coordinated-international-enforcement-operation-targeting-hundreds-individuals" TargetMode="External"/><Relationship Id="rId30" Type="http://schemas.openxmlformats.org/officeDocument/2006/relationships/hyperlink" Target="https://www.federalreserve.gov/monetarypolicy/beigebook201805.htm" TargetMode="External"/><Relationship Id="rId35" Type="http://schemas.openxmlformats.org/officeDocument/2006/relationships/hyperlink" Target="https://www.fincen.gov/sites/default/files/2018-05/FinCEN%20Ruling%20CD%20and%20Loan%20Rollover%20Relief_FINAL%20508-revised.pdf" TargetMode="External"/><Relationship Id="rId43" Type="http://schemas.openxmlformats.org/officeDocument/2006/relationships/hyperlink" Target="http://www.consumerfinance.gov/" TargetMode="External"/><Relationship Id="rId48" Type="http://schemas.openxmlformats.org/officeDocument/2006/relationships/hyperlink" Target="http://www.law.cornell.edu/topn/dodd-frank_wall_street_reform_and_consumer_protection_act" TargetMode="External"/><Relationship Id="rId56" Type="http://schemas.openxmlformats.org/officeDocument/2006/relationships/hyperlink" Target="http://www.fincen.gov" TargetMode="External"/><Relationship Id="rId64" Type="http://schemas.openxmlformats.org/officeDocument/2006/relationships/hyperlink" Target="https://www.ffiec.gov/hmda/" TargetMode="External"/><Relationship Id="rId69" Type="http://schemas.openxmlformats.org/officeDocument/2006/relationships/hyperlink" Target="http://www.fema.gov/national-flood-insurance-program" TargetMode="External"/><Relationship Id="rId77" Type="http://schemas.openxmlformats.org/officeDocument/2006/relationships/hyperlink" Target="https://www.consumerfinance.gov/eregulations/1005" TargetMode="External"/><Relationship Id="rId8" Type="http://schemas.openxmlformats.org/officeDocument/2006/relationships/image" Target="media/image1.jpeg"/><Relationship Id="rId51" Type="http://schemas.openxmlformats.org/officeDocument/2006/relationships/hyperlink" Target="https://www.consumerfinance.gov/eregulations/1005" TargetMode="External"/><Relationship Id="rId72" Type="http://schemas.openxmlformats.org/officeDocument/2006/relationships/hyperlink" Target="http://www.treasury.gov/about/organizational-structure/offices/Pages/Office-of-Foreign-Assets-Control.aspx" TargetMode="External"/><Relationship Id="rId80" Type="http://schemas.openxmlformats.org/officeDocument/2006/relationships/hyperlink" Target="https://www.consumerfinance.gov/eregulations/1024" TargetMode="External"/><Relationship Id="rId85" Type="http://schemas.openxmlformats.org/officeDocument/2006/relationships/hyperlink" Target="http://www.treasury.gov" TargetMode="External"/><Relationship Id="rId3" Type="http://schemas.openxmlformats.org/officeDocument/2006/relationships/styles" Target="styles.xml"/><Relationship Id="rId12" Type="http://schemas.openxmlformats.org/officeDocument/2006/relationships/hyperlink" Target="https://www.occ.gov/news-issuances/news-releases/2018/nr-ia-2018-56.html" TargetMode="External"/><Relationship Id="rId17" Type="http://schemas.openxmlformats.org/officeDocument/2006/relationships/hyperlink" Target="https://www.occ.gov/publications/publications-by-type/other-publications-reports/mortgage-metrics/mortgage-metrics-q1-2018.pdf" TargetMode="External"/><Relationship Id="rId25" Type="http://schemas.openxmlformats.org/officeDocument/2006/relationships/hyperlink" Target="https://www.federalreserve.gov/releases/chargeoff/" TargetMode="External"/><Relationship Id="rId33" Type="http://schemas.openxmlformats.org/officeDocument/2006/relationships/hyperlink" Target="http://www.chicagofed.org/~/media/publications/cfnai/2018/cfnai-may2018-pdf.pdf" TargetMode="External"/><Relationship Id="rId38" Type="http://schemas.openxmlformats.org/officeDocument/2006/relationships/hyperlink" Target="http://s3.amazonaws.com/files.consumerfinance.gov/f/documents/20161005_cfpb_Final_Rule_Prepaid_Accounts.pdf" TargetMode="External"/><Relationship Id="rId46" Type="http://schemas.openxmlformats.org/officeDocument/2006/relationships/hyperlink" Target="http://www.csbs.org/Pages/default.aspx" TargetMode="External"/><Relationship Id="rId59" Type="http://schemas.openxmlformats.org/officeDocument/2006/relationships/hyperlink" Target="http://www.treasury.gov/initiatives/fsoc/Pages/home.aspx" TargetMode="External"/><Relationship Id="rId67" Type="http://schemas.openxmlformats.org/officeDocument/2006/relationships/hyperlink" Target="http://www.hud.gov" TargetMode="External"/><Relationship Id="rId20" Type="http://schemas.openxmlformats.org/officeDocument/2006/relationships/hyperlink" Target="https://www.occ.treas.gov/news-issuances/news-releases/2018/nr-occ-2018-52.html" TargetMode="External"/><Relationship Id="rId41" Type="http://schemas.openxmlformats.org/officeDocument/2006/relationships/footer" Target="footer2.xml"/><Relationship Id="rId54" Type="http://schemas.openxmlformats.org/officeDocument/2006/relationships/hyperlink" Target="http://www.fhfa.gov/" TargetMode="External"/><Relationship Id="rId62" Type="http://schemas.openxmlformats.org/officeDocument/2006/relationships/hyperlink" Target="http://harpprogram.org/" TargetMode="External"/><Relationship Id="rId70" Type="http://schemas.openxmlformats.org/officeDocument/2006/relationships/hyperlink" Target="http://mortgage.nationwidelicensingsystem.org/Pages/default.aspx" TargetMode="External"/><Relationship Id="rId75" Type="http://schemas.openxmlformats.org/officeDocument/2006/relationships/hyperlink" Target="https://www.consumerfinance.gov/eregulations/1003" TargetMode="External"/><Relationship Id="rId83" Type="http://schemas.openxmlformats.org/officeDocument/2006/relationships/hyperlink" Target="https://www.ffiec.gov/bsa_aml_infobase/pages_manual/OLM_015.htm"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dic.gov/news/news/financial/2018/fil18032.html" TargetMode="External"/><Relationship Id="rId23" Type="http://schemas.openxmlformats.org/officeDocument/2006/relationships/hyperlink" Target="https://www.occ.treas.gov/news-issuances/bulletins/2018/bulletin-2018-14.html" TargetMode="External"/><Relationship Id="rId28" Type="http://schemas.openxmlformats.org/officeDocument/2006/relationships/hyperlink" Target="https://www.dallasfed.org/research/eclett/2018/el1808" TargetMode="External"/><Relationship Id="rId36" Type="http://schemas.openxmlformats.org/officeDocument/2006/relationships/hyperlink" Target="https://www.occ.trehttps:/www.federalregister.gov/documents/2018/05/02/2018-09243/federal-mortgage-disclosure-requirements-under-the-truth-in-lending-act-regulation-zas.gov/news-issuances/federal-register/83fr22312.pdf" TargetMode="External"/><Relationship Id="rId49" Type="http://schemas.openxmlformats.org/officeDocument/2006/relationships/hyperlink" Target="http://www.justice.gov/" TargetMode="External"/><Relationship Id="rId57" Type="http://schemas.openxmlformats.org/officeDocument/2006/relationships/hyperlink" Target="https://www.federalregister.gov/" TargetMode="External"/><Relationship Id="rId10" Type="http://schemas.openxmlformats.org/officeDocument/2006/relationships/hyperlink" Target="https://content.govdelivery.com/accounts/USFDIC/bulletins/1f79796" TargetMode="External"/><Relationship Id="rId31" Type="http://schemas.openxmlformats.org/officeDocument/2006/relationships/hyperlink" Target="https://www.stlouisfed.org/news-releases/2018/05/22/federal-reserve-small-business-report-finds-more-firms-are-profitable-and-confident" TargetMode="External"/><Relationship Id="rId44" Type="http://schemas.openxmlformats.org/officeDocument/2006/relationships/hyperlink" Target="http://www.gpo.gov/fdsys/browse/collectionCfr.action?collectionCode=CFR" TargetMode="External"/><Relationship Id="rId52" Type="http://schemas.openxmlformats.org/officeDocument/2006/relationships/hyperlink" Target="http://www.fema.gov" TargetMode="External"/><Relationship Id="rId60" Type="http://schemas.openxmlformats.org/officeDocument/2006/relationships/hyperlink" Target="http://www.ftc.gov" TargetMode="External"/><Relationship Id="rId65" Type="http://schemas.openxmlformats.org/officeDocument/2006/relationships/hyperlink" Target="http://files.consumerfinance.gov/f/201305_compliance-guide_home-ownership-and-equity-protection-act-rule.pdf" TargetMode="External"/><Relationship Id="rId73" Type="http://schemas.openxmlformats.org/officeDocument/2006/relationships/hyperlink" Target="http://www.occ.gov/topics/credit/commercial-credit/other-real-estate-owned.html" TargetMode="External"/><Relationship Id="rId78" Type="http://schemas.openxmlformats.org/officeDocument/2006/relationships/hyperlink" Target="http://www.ecfr.gov/cgi-bin/text-idx?c=ecfr&amp;tpl=/ecfrbrowse/Title12/12cfr1007_main_02.tpl" TargetMode="External"/><Relationship Id="rId81" Type="http://schemas.openxmlformats.org/officeDocument/2006/relationships/hyperlink" Target="https://www.consumerfinance.gov/eregulations/1026" TargetMode="External"/><Relationship Id="rId86"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D8D8E-B24D-4C76-A187-5143B7A66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7934</Words>
  <Characters>45226</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bkankel</dc:creator>
  <cp:lastModifiedBy>Bonnie Kankel</cp:lastModifiedBy>
  <cp:revision>4</cp:revision>
  <cp:lastPrinted>2018-05-24T14:24:00Z</cp:lastPrinted>
  <dcterms:created xsi:type="dcterms:W3CDTF">2018-06-20T16:10:00Z</dcterms:created>
  <dcterms:modified xsi:type="dcterms:W3CDTF">2018-06-20T21:39:00Z</dcterms:modified>
</cp:coreProperties>
</file>